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Times New Roman" w:cs="Times New Roman"/>
          <w:sz w:val="20"/>
          <w:szCs w:val="20"/>
        </w:rPr>
        <w:id w:val="1197966112"/>
        <w:docPartObj>
          <w:docPartGallery w:val="Cover Pages"/>
          <w:docPartUnique/>
        </w:docPartObj>
      </w:sdtPr>
      <w:sdtEndPr/>
      <w:sdtContent>
        <w:tbl>
          <w:tblPr>
            <w:tblStyle w:val="TableGrid1"/>
            <w:tblW w:w="10909" w:type="dxa"/>
            <w:tblInd w:w="-7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25"/>
            <w:gridCol w:w="1655"/>
            <w:gridCol w:w="2629"/>
          </w:tblGrid>
          <w:tr w:rsidR="00DE3529" w:rsidRPr="00353FF9" w14:paraId="708AC32A" w14:textId="77777777" w:rsidTr="00717FBA">
            <w:trPr>
              <w:trHeight w:val="835"/>
            </w:trPr>
            <w:tc>
              <w:tcPr>
                <w:tcW w:w="6625" w:type="dxa"/>
              </w:tcPr>
              <w:p w14:paraId="66FE42A4" w14:textId="77777777" w:rsidR="00DE3529" w:rsidRPr="00353FF9" w:rsidRDefault="007F78B2" w:rsidP="00353FF9">
                <w:pPr>
                  <w:tabs>
                    <w:tab w:val="center" w:pos="4680"/>
                    <w:tab w:val="right" w:pos="9360"/>
                  </w:tabs>
                </w:pPr>
                <w:r>
                  <w:rPr>
                    <w:noProof/>
                  </w:rPr>
                  <w:drawing>
                    <wp:inline distT="0" distB="0" distL="0" distR="0" wp14:anchorId="5F45BF20" wp14:editId="11C20745">
                      <wp:extent cx="2705100" cy="257175"/>
                      <wp:effectExtent l="0" t="0" r="0" b="9525"/>
                      <wp:docPr id="1" name="Picture 1" descr="cid:image001.jpg@01D88569.54DD9E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id:image001.jpg@01D88569.54DD9E2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705100" cy="257175"/>
                              </a:xfrm>
                              <a:prstGeom prst="rect">
                                <a:avLst/>
                              </a:prstGeom>
                              <a:noFill/>
                              <a:ln>
                                <a:noFill/>
                              </a:ln>
                            </pic:spPr>
                          </pic:pic>
                        </a:graphicData>
                      </a:graphic>
                    </wp:inline>
                  </w:drawing>
                </w:r>
              </w:p>
            </w:tc>
            <w:tc>
              <w:tcPr>
                <w:tcW w:w="1655" w:type="dxa"/>
              </w:tcPr>
              <w:p w14:paraId="434F835E" w14:textId="77777777" w:rsidR="00DE3529" w:rsidRPr="00353FF9" w:rsidRDefault="00DE3529" w:rsidP="00353FF9">
                <w:pPr>
                  <w:tabs>
                    <w:tab w:val="center" w:pos="4680"/>
                    <w:tab w:val="right" w:pos="9360"/>
                  </w:tabs>
                  <w:spacing w:line="360" w:lineRule="auto"/>
                  <w:rPr>
                    <w:rFonts w:cs="Arial"/>
                    <w:b/>
                    <w:spacing w:val="20"/>
                    <w:sz w:val="16"/>
                    <w:szCs w:val="16"/>
                  </w:rPr>
                </w:pPr>
                <w:r w:rsidRPr="00353FF9">
                  <w:rPr>
                    <w:rFonts w:ascii="Book Antiqua" w:hAnsi="Book Antiqua"/>
                    <w:noProof/>
                    <w:color w:val="404040" w:themeColor="text1" w:themeTint="BF"/>
                    <w:sz w:val="12"/>
                    <w:szCs w:val="12"/>
                  </w:rPr>
                  <mc:AlternateContent>
                    <mc:Choice Requires="wps">
                      <w:drawing>
                        <wp:anchor distT="0" distB="0" distL="114300" distR="114300" simplePos="0" relativeHeight="251659776" behindDoc="0" locked="0" layoutInCell="1" allowOverlap="1" wp14:anchorId="5B9D90F8" wp14:editId="46CF6F0F">
                          <wp:simplePos x="0" y="0"/>
                          <wp:positionH relativeFrom="column">
                            <wp:posOffset>926901</wp:posOffset>
                          </wp:positionH>
                          <wp:positionV relativeFrom="paragraph">
                            <wp:posOffset>23097</wp:posOffset>
                          </wp:positionV>
                          <wp:extent cx="0" cy="750570"/>
                          <wp:effectExtent l="0" t="0" r="19050" b="11430"/>
                          <wp:wrapNone/>
                          <wp:docPr id="8" name="Straight Connector 8"/>
                          <wp:cNvGraphicFramePr/>
                          <a:graphic xmlns:a="http://schemas.openxmlformats.org/drawingml/2006/main">
                            <a:graphicData uri="http://schemas.microsoft.com/office/word/2010/wordprocessingShape">
                              <wps:wsp>
                                <wps:cNvCnPr/>
                                <wps:spPr>
                                  <a:xfrm>
                                    <a:off x="0" y="0"/>
                                    <a:ext cx="0" cy="750570"/>
                                  </a:xfrm>
                                  <a:prstGeom prst="line">
                                    <a:avLst/>
                                  </a:prstGeom>
                                  <a:noFill/>
                                  <a:ln w="6350" cap="flat" cmpd="sng" algn="ctr">
                                    <a:solidFill>
                                      <a:sysClr val="window" lastClr="FFFFFF">
                                        <a:lumMod val="50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504D3BA" id="Straight Connector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3pt,1.8pt" to="73pt,6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" strokecolor="#7f7f7f" strokeweight=".5pt"/>
                      </w:pict>
                    </mc:Fallback>
                  </mc:AlternateContent>
                </w:r>
              </w:p>
            </w:tc>
            <w:tc>
              <w:tcPr>
                <w:tcW w:w="2629" w:type="dxa"/>
                <w:vAlign w:val="center"/>
              </w:tcPr>
              <w:p w14:paraId="5C6F754E" w14:textId="77777777" w:rsidR="00DE3529" w:rsidRPr="00353FF9" w:rsidRDefault="00DE3529" w:rsidP="00353FF9">
                <w:pPr>
                  <w:tabs>
                    <w:tab w:val="center" w:pos="4680"/>
                    <w:tab w:val="right" w:pos="9360"/>
                  </w:tabs>
                  <w:rPr>
                    <w:rFonts w:ascii="MrsEaves" w:hAnsi="MrsEaves"/>
                    <w:b/>
                    <w:color w:val="1F497D" w:themeColor="text2"/>
                    <w:sz w:val="18"/>
                    <w:szCs w:val="18"/>
                  </w:rPr>
                </w:pPr>
                <w:r w:rsidRPr="00353FF9">
                  <w:rPr>
                    <w:rFonts w:ascii="MrsEaves" w:hAnsi="MrsEaves"/>
                    <w:b/>
                    <w:color w:val="1F497D" w:themeColor="text2"/>
                    <w:sz w:val="18"/>
                    <w:szCs w:val="18"/>
                  </w:rPr>
                  <w:t xml:space="preserve">Office of Facilities Planning and </w:t>
                </w:r>
                <w:r w:rsidR="007F78B2">
                  <w:rPr>
                    <w:rFonts w:ascii="MrsEaves" w:hAnsi="MrsEaves"/>
                    <w:b/>
                    <w:color w:val="1F497D" w:themeColor="text2"/>
                    <w:sz w:val="18"/>
                    <w:szCs w:val="18"/>
                  </w:rPr>
                  <w:t>Engineering</w:t>
                </w:r>
              </w:p>
              <w:p w14:paraId="3AF4081B" w14:textId="77777777" w:rsidR="00DE3529" w:rsidRPr="00353FF9" w:rsidRDefault="007F78B2" w:rsidP="00353FF9">
                <w:pPr>
                  <w:tabs>
                    <w:tab w:val="center" w:pos="4680"/>
                    <w:tab w:val="right" w:pos="9360"/>
                  </w:tabs>
                  <w:ind w:right="-89"/>
                  <w:rPr>
                    <w:rFonts w:ascii="MrsEaves" w:hAnsi="MrsEaves"/>
                    <w:color w:val="000000" w:themeColor="text1"/>
                    <w:sz w:val="16"/>
                    <w:szCs w:val="16"/>
                  </w:rPr>
                </w:pPr>
                <w:r>
                  <w:rPr>
                    <w:rFonts w:ascii="MrsEaves" w:hAnsi="MrsEaves"/>
                    <w:color w:val="000000" w:themeColor="text1"/>
                    <w:sz w:val="16"/>
                    <w:szCs w:val="16"/>
                  </w:rPr>
                  <w:t>7000 Fannin, Suite 830</w:t>
                </w:r>
              </w:p>
              <w:p w14:paraId="3EE7B452" w14:textId="77777777" w:rsidR="00DE3529" w:rsidRPr="00353FF9" w:rsidRDefault="007F78B2" w:rsidP="00353FF9">
                <w:pPr>
                  <w:tabs>
                    <w:tab w:val="center" w:pos="4680"/>
                    <w:tab w:val="right" w:pos="9360"/>
                  </w:tabs>
                  <w:rPr>
                    <w:rFonts w:ascii="MrsEaves" w:hAnsi="MrsEaves"/>
                    <w:color w:val="000000" w:themeColor="text1"/>
                    <w:sz w:val="16"/>
                    <w:szCs w:val="16"/>
                  </w:rPr>
                </w:pPr>
                <w:r>
                  <w:rPr>
                    <w:rFonts w:ascii="MrsEaves" w:hAnsi="MrsEaves"/>
                    <w:color w:val="000000" w:themeColor="text1"/>
                    <w:sz w:val="16"/>
                    <w:szCs w:val="16"/>
                  </w:rPr>
                  <w:t>Houston</w:t>
                </w:r>
                <w:r w:rsidR="00DE3529" w:rsidRPr="00353FF9">
                  <w:rPr>
                    <w:rFonts w:ascii="MrsEaves" w:hAnsi="MrsEaves"/>
                    <w:color w:val="000000" w:themeColor="text1"/>
                    <w:sz w:val="16"/>
                    <w:szCs w:val="16"/>
                  </w:rPr>
                  <w:t>, Texas 7</w:t>
                </w:r>
                <w:r>
                  <w:rPr>
                    <w:rFonts w:ascii="MrsEaves" w:hAnsi="MrsEaves"/>
                    <w:color w:val="000000" w:themeColor="text1"/>
                    <w:sz w:val="16"/>
                    <w:szCs w:val="16"/>
                  </w:rPr>
                  <w:t>7030</w:t>
                </w:r>
              </w:p>
              <w:p w14:paraId="59FD96B0" w14:textId="77777777" w:rsidR="00DE3529" w:rsidRPr="007F78B2" w:rsidRDefault="007F78B2" w:rsidP="00353FF9">
                <w:pPr>
                  <w:tabs>
                    <w:tab w:val="center" w:pos="4680"/>
                    <w:tab w:val="right" w:pos="9360"/>
                  </w:tabs>
                  <w:rPr>
                    <w:b/>
                    <w:smallCaps/>
                    <w:color w:val="DF6427"/>
                    <w:sz w:val="16"/>
                    <w:szCs w:val="16"/>
                  </w:rPr>
                </w:pPr>
                <w:r w:rsidRPr="007F78B2">
                  <w:rPr>
                    <w:rFonts w:ascii="Mrs Eaves OT Bold" w:hAnsi="Mrs Eaves OT Bold"/>
                    <w:b/>
                    <w:smallCaps/>
                    <w:color w:val="943634" w:themeColor="accent2" w:themeShade="BF"/>
                    <w:sz w:val="16"/>
                    <w:szCs w:val="16"/>
                  </w:rPr>
                  <w:t>WWW.UTH.EDU</w:t>
                </w:r>
              </w:p>
            </w:tc>
          </w:tr>
        </w:tbl>
        <w:p w14:paraId="166E0B4F" w14:textId="77777777" w:rsidR="00DE3529" w:rsidRDefault="00DE3529">
          <w:pPr>
            <w:rPr>
              <w:rFonts w:ascii="Times New Roman" w:hAnsi="Times New Roman"/>
            </w:rPr>
          </w:pPr>
        </w:p>
        <w:p w14:paraId="16B4A2A7" w14:textId="77777777" w:rsidR="00DE3529" w:rsidRDefault="00DE3529" w:rsidP="00F05665">
          <w:pPr>
            <w:tabs>
              <w:tab w:val="left" w:pos="7685"/>
            </w:tabs>
          </w:pPr>
        </w:p>
        <w:p w14:paraId="2AD0A90D" w14:textId="77777777" w:rsidR="00DE3529" w:rsidRDefault="00DE3529" w:rsidP="00F05665">
          <w:pPr>
            <w:tabs>
              <w:tab w:val="left" w:pos="7685"/>
            </w:tabs>
          </w:pPr>
        </w:p>
        <w:p w14:paraId="21F21D09" w14:textId="77777777" w:rsidR="00DE3529" w:rsidRDefault="007F78B2" w:rsidP="009E6D1F">
          <w:pPr>
            <w:spacing w:before="120"/>
            <w:jc w:val="center"/>
            <w:rPr>
              <w:rFonts w:cs="Arial"/>
              <w:b/>
              <w:i/>
              <w:color w:val="800000"/>
              <w:sz w:val="36"/>
            </w:rPr>
          </w:pPr>
          <w:r>
            <w:rPr>
              <w:rFonts w:cs="Arial"/>
              <w:b/>
              <w:i/>
              <w:color w:val="800000"/>
              <w:sz w:val="36"/>
            </w:rPr>
            <w:t>UTHealth FPE</w:t>
          </w:r>
          <w:r w:rsidR="00DE3529">
            <w:rPr>
              <w:rFonts w:cs="Arial"/>
              <w:b/>
              <w:i/>
              <w:color w:val="800000"/>
              <w:sz w:val="36"/>
            </w:rPr>
            <w:t xml:space="preserve"> Standard Specification</w:t>
          </w:r>
        </w:p>
        <w:p w14:paraId="6050966B" w14:textId="77777777" w:rsidR="00DE3529" w:rsidRDefault="00DE3529" w:rsidP="009E6D1F">
          <w:pPr>
            <w:jc w:val="center"/>
            <w:rPr>
              <w:rFonts w:cs="Arial"/>
              <w:b/>
              <w:color w:val="800000"/>
              <w:sz w:val="24"/>
              <w:szCs w:val="24"/>
            </w:rPr>
          </w:pPr>
        </w:p>
        <w:p w14:paraId="0EA770E6" w14:textId="77777777" w:rsidR="00DE3529" w:rsidRPr="009E6D1F" w:rsidRDefault="00DE3529" w:rsidP="009E6D1F">
          <w:pPr>
            <w:jc w:val="center"/>
            <w:rPr>
              <w:rFonts w:cs="Arial"/>
              <w:b/>
              <w:color w:val="800000"/>
              <w:sz w:val="24"/>
              <w:szCs w:val="24"/>
            </w:rPr>
          </w:pPr>
          <w:r w:rsidRPr="009E6D1F">
            <w:rPr>
              <w:rFonts w:cs="Arial"/>
              <w:b/>
              <w:color w:val="800000"/>
              <w:sz w:val="24"/>
              <w:szCs w:val="24"/>
            </w:rPr>
            <w:t>SECTION 2</w:t>
          </w:r>
          <w:r>
            <w:rPr>
              <w:rFonts w:cs="Arial"/>
              <w:b/>
              <w:color w:val="800000"/>
              <w:sz w:val="24"/>
              <w:szCs w:val="24"/>
            </w:rPr>
            <w:t>6 27 26</w:t>
          </w:r>
        </w:p>
        <w:p w14:paraId="48A2DBDB" w14:textId="77777777" w:rsidR="00DE3529" w:rsidRDefault="00DE3529" w:rsidP="009E6D1F">
          <w:pPr>
            <w:tabs>
              <w:tab w:val="center" w:pos="4680"/>
            </w:tabs>
            <w:suppressAutoHyphens/>
            <w:jc w:val="center"/>
            <w:rPr>
              <w:rFonts w:cs="Arial"/>
              <w:b/>
              <w:color w:val="800000"/>
              <w:sz w:val="24"/>
              <w:szCs w:val="24"/>
            </w:rPr>
          </w:pPr>
        </w:p>
        <w:p w14:paraId="2AD93228" w14:textId="77777777" w:rsidR="00DE3529" w:rsidRDefault="00DE3529" w:rsidP="009E6D1F">
          <w:pPr>
            <w:tabs>
              <w:tab w:val="center" w:pos="4680"/>
            </w:tabs>
            <w:suppressAutoHyphens/>
            <w:jc w:val="center"/>
            <w:rPr>
              <w:rFonts w:cs="Arial"/>
              <w:b/>
              <w:color w:val="800000"/>
              <w:sz w:val="24"/>
              <w:szCs w:val="24"/>
            </w:rPr>
          </w:pPr>
          <w:r>
            <w:rPr>
              <w:rFonts w:cs="Arial"/>
              <w:b/>
              <w:color w:val="800000"/>
              <w:sz w:val="24"/>
              <w:szCs w:val="24"/>
            </w:rPr>
            <w:t>WIRING DEVICES</w:t>
          </w:r>
        </w:p>
        <w:p w14:paraId="6965FAF3" w14:textId="77777777" w:rsidR="00DE3529" w:rsidRPr="009E6D1F" w:rsidRDefault="00DE3529" w:rsidP="009E6D1F">
          <w:pPr>
            <w:tabs>
              <w:tab w:val="center" w:pos="4680"/>
            </w:tabs>
            <w:suppressAutoHyphens/>
            <w:jc w:val="center"/>
            <w:rPr>
              <w:rFonts w:cs="Arial"/>
              <w:b/>
              <w:color w:val="FF0000"/>
              <w:sz w:val="24"/>
              <w:szCs w:val="24"/>
            </w:rPr>
          </w:pPr>
        </w:p>
        <w:p w14:paraId="085934FE" w14:textId="77777777" w:rsidR="00DE3529" w:rsidRDefault="00DE3529" w:rsidP="009E6D1F">
          <w:pPr>
            <w:pStyle w:val="BodyText"/>
            <w:tabs>
              <w:tab w:val="clear" w:pos="720"/>
              <w:tab w:val="clear" w:pos="1296"/>
              <w:tab w:val="clear" w:pos="1872"/>
              <w:tab w:val="clear" w:pos="2448"/>
              <w:tab w:val="clear" w:pos="3024"/>
              <w:tab w:val="clear" w:pos="3600"/>
              <w:tab w:val="clear" w:pos="4176"/>
              <w:tab w:val="clear" w:pos="4752"/>
              <w:tab w:val="clear" w:pos="5328"/>
              <w:tab w:val="clear" w:pos="5904"/>
              <w:tab w:val="clear" w:pos="6480"/>
              <w:tab w:val="clear" w:pos="7056"/>
              <w:tab w:val="clear" w:pos="7632"/>
              <w:tab w:val="clear" w:pos="8208"/>
              <w:tab w:val="clear" w:pos="8784"/>
              <w:tab w:val="clear" w:pos="9180"/>
            </w:tabs>
            <w:rPr>
              <w:rFonts w:ascii="Arial" w:hAnsi="Arial" w:cs="Arial"/>
            </w:rPr>
          </w:pPr>
          <w:r>
            <w:rPr>
              <w:rFonts w:ascii="Arial" w:hAnsi="Arial" w:cs="Arial"/>
            </w:rPr>
            <w:t xml:space="preserve">This Standard Specification </w:t>
          </w:r>
          <w:r w:rsidRPr="00784EC4">
            <w:rPr>
              <w:rFonts w:ascii="Arial" w:hAnsi="Arial" w:cs="Arial"/>
            </w:rPr>
            <w:t>Section</w:t>
          </w:r>
          <w:r w:rsidRPr="00B04E1C">
            <w:rPr>
              <w:rFonts w:ascii="Arial" w:hAnsi="Arial" w:cs="Arial"/>
            </w:rPr>
            <w:t xml:space="preserve"> </w:t>
          </w:r>
          <w:r>
            <w:rPr>
              <w:rFonts w:ascii="Arial" w:hAnsi="Arial" w:cs="Arial"/>
            </w:rPr>
            <w:t>is controlled by the Office of Facilities Planning and Construction, UT System.  It is to be used as guideline on all UT System projects, unless deviations are approved in writing by the Project Manager.  It is not to be used for bidding, permitting, construction or any other purpose.  This document is the property of UT System, and use of this document, in part or in whole, for any purpose other than for a UT System project may not be done without written permission of UT System.</w:t>
          </w:r>
        </w:p>
        <w:p w14:paraId="61529949" w14:textId="77777777" w:rsidR="00DE3529" w:rsidRDefault="00DE3529" w:rsidP="009E6D1F">
          <w:pPr>
            <w:spacing w:line="240" w:lineRule="atLeast"/>
            <w:ind w:right="-288"/>
            <w:jc w:val="both"/>
            <w:rPr>
              <w:rFonts w:cs="Arial"/>
              <w:i/>
            </w:rPr>
          </w:pPr>
        </w:p>
        <w:p w14:paraId="38CF7B62" w14:textId="77777777" w:rsidR="00DE3529" w:rsidRDefault="00DE3529" w:rsidP="009E6D1F">
          <w:pPr>
            <w:spacing w:line="240" w:lineRule="atLeast"/>
            <w:jc w:val="both"/>
            <w:rPr>
              <w:rFonts w:cs="Arial"/>
              <w:i/>
            </w:rPr>
          </w:pPr>
          <w:r>
            <w:rPr>
              <w:rFonts w:cs="Arial"/>
              <w:i/>
            </w:rPr>
            <w:t xml:space="preserve">To receive current updates of standard specification </w:t>
          </w:r>
          <w:r w:rsidRPr="00784EC4">
            <w:rPr>
              <w:rFonts w:cs="Arial"/>
              <w:i/>
            </w:rPr>
            <w:t>Sections</w:t>
          </w:r>
          <w:r>
            <w:rPr>
              <w:rFonts w:cs="Arial"/>
              <w:i/>
            </w:rPr>
            <w:t xml:space="preserve">, please go to the web site at: </w:t>
          </w:r>
          <w:r>
            <w:rPr>
              <w:rFonts w:cs="Arial"/>
            </w:rPr>
            <w:t>http://</w:t>
          </w:r>
          <w:r>
            <w:rPr>
              <w:rFonts w:cs="Arial"/>
              <w:color w:val="0000FF"/>
              <w:u w:val="single"/>
            </w:rPr>
            <w:t>www.utsystem.edu/fpc</w:t>
          </w:r>
          <w:r>
            <w:rPr>
              <w:rFonts w:cs="Arial"/>
              <w:i/>
            </w:rPr>
            <w:t xml:space="preserve"> or contact the Office of Facilities Planning and Construction by phone at (512) 499-4600 or by fax at (512) 499-4604.</w:t>
          </w:r>
        </w:p>
        <w:p w14:paraId="0ABD2DBB" w14:textId="77777777" w:rsidR="00DE3529" w:rsidRDefault="00DE3529" w:rsidP="009E6D1F">
          <w:pPr>
            <w:tabs>
              <w:tab w:val="left" w:pos="7685"/>
            </w:tabs>
            <w:rPr>
              <w:rFonts w:cs="Arial"/>
              <w:i/>
            </w:rPr>
          </w:pPr>
        </w:p>
        <w:p w14:paraId="16900B38" w14:textId="77777777" w:rsidR="00DE3529" w:rsidRDefault="00DE3529" w:rsidP="009E6D1F">
          <w:pPr>
            <w:tabs>
              <w:tab w:val="left" w:pos="7685"/>
            </w:tabs>
          </w:pPr>
          <w:r>
            <w:rPr>
              <w:rFonts w:cs="Arial"/>
              <w:i/>
            </w:rPr>
            <w:t xml:space="preserve">The issuance and revision history of this </w:t>
          </w:r>
          <w:r w:rsidRPr="00784EC4">
            <w:rPr>
              <w:rFonts w:cs="Arial"/>
              <w:i/>
            </w:rPr>
            <w:t>Section</w:t>
          </w:r>
          <w:r w:rsidRPr="00B04E1C">
            <w:rPr>
              <w:rFonts w:cs="Arial"/>
              <w:i/>
            </w:rPr>
            <w:t xml:space="preserve"> </w:t>
          </w:r>
          <w:r>
            <w:rPr>
              <w:rFonts w:cs="Arial"/>
              <w:i/>
            </w:rPr>
            <w:t>is tabulated below.  Please destroy any previous copy in your possession</w:t>
          </w:r>
        </w:p>
        <w:tbl>
          <w:tblPr>
            <w:tblW w:w="9643" w:type="dxa"/>
            <w:jc w:val="right"/>
            <w:tblLayout w:type="fixed"/>
            <w:tblCellMar>
              <w:left w:w="120" w:type="dxa"/>
              <w:right w:w="120" w:type="dxa"/>
            </w:tblCellMar>
            <w:tblLook w:val="0000" w:firstRow="0" w:lastRow="0" w:firstColumn="0" w:lastColumn="0" w:noHBand="0" w:noVBand="0"/>
          </w:tblPr>
          <w:tblGrid>
            <w:gridCol w:w="1454"/>
            <w:gridCol w:w="2088"/>
            <w:gridCol w:w="1368"/>
            <w:gridCol w:w="4733"/>
          </w:tblGrid>
          <w:tr w:rsidR="00DE3529" w:rsidRPr="009E6D1F" w14:paraId="14470532" w14:textId="77777777" w:rsidTr="00717FBA">
            <w:trPr>
              <w:cantSplit/>
              <w:jc w:val="right"/>
            </w:trPr>
            <w:tc>
              <w:tcPr>
                <w:tcW w:w="1454" w:type="dxa"/>
                <w:tcBorders>
                  <w:top w:val="double" w:sz="6" w:space="0" w:color="auto"/>
                  <w:left w:val="double" w:sz="6" w:space="0" w:color="auto"/>
                  <w:bottom w:val="double" w:sz="6" w:space="0" w:color="auto"/>
                </w:tcBorders>
              </w:tcPr>
              <w:p w14:paraId="2F0B243C" w14:textId="77777777" w:rsidR="00DE3529" w:rsidRPr="009E6D1F" w:rsidRDefault="00DE3529" w:rsidP="009E6D1F">
                <w:pPr>
                  <w:jc w:val="center"/>
                  <w:rPr>
                    <w:rFonts w:ascii="Times New Roman" w:hAnsi="Times New Roman"/>
                    <w:sz w:val="24"/>
                    <w:szCs w:val="24"/>
                  </w:rPr>
                </w:pPr>
                <w:r w:rsidRPr="009E6D1F">
                  <w:rPr>
                    <w:rFonts w:ascii="Times New Roman" w:hAnsi="Times New Roman"/>
                    <w:sz w:val="24"/>
                    <w:szCs w:val="24"/>
                  </w:rPr>
                  <w:t>Rev No.</w:t>
                </w:r>
              </w:p>
            </w:tc>
            <w:tc>
              <w:tcPr>
                <w:tcW w:w="2088" w:type="dxa"/>
                <w:tcBorders>
                  <w:top w:val="double" w:sz="6" w:space="0" w:color="auto"/>
                  <w:left w:val="single" w:sz="6" w:space="0" w:color="auto"/>
                  <w:bottom w:val="double" w:sz="6" w:space="0" w:color="auto"/>
                </w:tcBorders>
              </w:tcPr>
              <w:p w14:paraId="5979D0CF" w14:textId="77777777" w:rsidR="00DE3529" w:rsidRPr="009E6D1F" w:rsidRDefault="00DE3529" w:rsidP="009E6D1F">
                <w:pPr>
                  <w:jc w:val="center"/>
                  <w:rPr>
                    <w:rFonts w:ascii="Times New Roman" w:hAnsi="Times New Roman"/>
                    <w:sz w:val="24"/>
                    <w:szCs w:val="24"/>
                  </w:rPr>
                </w:pPr>
                <w:r w:rsidRPr="009E6D1F">
                  <w:rPr>
                    <w:rFonts w:ascii="Times New Roman" w:hAnsi="Times New Roman"/>
                    <w:sz w:val="24"/>
                    <w:szCs w:val="24"/>
                  </w:rPr>
                  <w:t>Date</w:t>
                </w:r>
              </w:p>
            </w:tc>
            <w:tc>
              <w:tcPr>
                <w:tcW w:w="1368" w:type="dxa"/>
                <w:tcBorders>
                  <w:top w:val="double" w:sz="6" w:space="0" w:color="auto"/>
                  <w:left w:val="single" w:sz="6" w:space="0" w:color="auto"/>
                  <w:bottom w:val="double" w:sz="6" w:space="0" w:color="auto"/>
                </w:tcBorders>
              </w:tcPr>
              <w:p w14:paraId="314C8C30" w14:textId="77777777" w:rsidR="00DE3529" w:rsidRPr="009E6D1F" w:rsidRDefault="00DE3529" w:rsidP="009E6D1F">
                <w:pPr>
                  <w:jc w:val="center"/>
                  <w:rPr>
                    <w:rFonts w:ascii="Times New Roman" w:hAnsi="Times New Roman"/>
                    <w:sz w:val="24"/>
                    <w:szCs w:val="24"/>
                  </w:rPr>
                </w:pPr>
                <w:r w:rsidRPr="009E6D1F">
                  <w:rPr>
                    <w:rFonts w:ascii="Times New Roman" w:hAnsi="Times New Roman"/>
                    <w:sz w:val="24"/>
                    <w:szCs w:val="24"/>
                  </w:rPr>
                  <w:t>Pages</w:t>
                </w:r>
              </w:p>
            </w:tc>
            <w:tc>
              <w:tcPr>
                <w:tcW w:w="4733" w:type="dxa"/>
                <w:tcBorders>
                  <w:top w:val="double" w:sz="6" w:space="0" w:color="auto"/>
                  <w:left w:val="single" w:sz="6" w:space="0" w:color="auto"/>
                  <w:bottom w:val="double" w:sz="6" w:space="0" w:color="auto"/>
                  <w:right w:val="double" w:sz="6" w:space="0" w:color="auto"/>
                </w:tcBorders>
              </w:tcPr>
              <w:p w14:paraId="60AAD1FF" w14:textId="77777777" w:rsidR="00DE3529" w:rsidRPr="009E6D1F" w:rsidRDefault="00DE3529" w:rsidP="009E6D1F">
                <w:pPr>
                  <w:jc w:val="center"/>
                  <w:rPr>
                    <w:rFonts w:ascii="Times New Roman" w:hAnsi="Times New Roman"/>
                    <w:sz w:val="24"/>
                    <w:szCs w:val="24"/>
                  </w:rPr>
                </w:pPr>
                <w:r w:rsidRPr="009E6D1F">
                  <w:rPr>
                    <w:rFonts w:ascii="Times New Roman" w:hAnsi="Times New Roman"/>
                    <w:sz w:val="24"/>
                    <w:szCs w:val="24"/>
                  </w:rPr>
                  <w:t>Remarks</w:t>
                </w:r>
              </w:p>
            </w:tc>
          </w:tr>
          <w:tr w:rsidR="001D181F" w:rsidRPr="009E6D1F" w14:paraId="294B2251" w14:textId="77777777" w:rsidTr="00717FBA">
            <w:trPr>
              <w:cantSplit/>
              <w:jc w:val="right"/>
            </w:trPr>
            <w:tc>
              <w:tcPr>
                <w:tcW w:w="1454" w:type="dxa"/>
                <w:tcBorders>
                  <w:left w:val="double" w:sz="6" w:space="0" w:color="auto"/>
                </w:tcBorders>
              </w:tcPr>
              <w:p w14:paraId="039F15AD" w14:textId="77777777" w:rsidR="001D181F" w:rsidRPr="00BD0142" w:rsidRDefault="001D181F" w:rsidP="001D181F">
                <w:pPr>
                  <w:jc w:val="center"/>
                </w:pPr>
                <w:r w:rsidRPr="00BD0142">
                  <w:t>0</w:t>
                </w:r>
              </w:p>
            </w:tc>
            <w:tc>
              <w:tcPr>
                <w:tcW w:w="2088" w:type="dxa"/>
                <w:tcBorders>
                  <w:left w:val="single" w:sz="6" w:space="0" w:color="auto"/>
                </w:tcBorders>
              </w:tcPr>
              <w:p w14:paraId="090F3E68" w14:textId="77777777" w:rsidR="001D181F" w:rsidRPr="00BD0142" w:rsidRDefault="001D181F" w:rsidP="001D181F">
                <w:pPr>
                  <w:jc w:val="center"/>
                </w:pPr>
                <w:r w:rsidRPr="00BD0142">
                  <w:t>Jan. 1996</w:t>
                </w:r>
              </w:p>
            </w:tc>
            <w:tc>
              <w:tcPr>
                <w:tcW w:w="1368" w:type="dxa"/>
                <w:tcBorders>
                  <w:left w:val="single" w:sz="6" w:space="0" w:color="auto"/>
                </w:tcBorders>
              </w:tcPr>
              <w:p w14:paraId="28D9C3DF" w14:textId="77777777" w:rsidR="001D181F" w:rsidRPr="00BD0142" w:rsidRDefault="001D181F" w:rsidP="001D181F">
                <w:pPr>
                  <w:jc w:val="center"/>
                </w:pPr>
                <w:r w:rsidRPr="00BD0142">
                  <w:t>7</w:t>
                </w:r>
              </w:p>
            </w:tc>
            <w:tc>
              <w:tcPr>
                <w:tcW w:w="4733" w:type="dxa"/>
                <w:tcBorders>
                  <w:left w:val="single" w:sz="6" w:space="0" w:color="auto"/>
                  <w:right w:val="double" w:sz="6" w:space="0" w:color="auto"/>
                </w:tcBorders>
              </w:tcPr>
              <w:p w14:paraId="453BFC4E" w14:textId="77777777" w:rsidR="001D181F" w:rsidRPr="00BD0142" w:rsidRDefault="001D181F" w:rsidP="001D181F">
                <w:pPr>
                  <w:jc w:val="center"/>
                </w:pPr>
                <w:r w:rsidRPr="00BD0142">
                  <w:t>Last Revision</w:t>
                </w:r>
              </w:p>
            </w:tc>
          </w:tr>
          <w:tr w:rsidR="001D181F" w:rsidRPr="009E6D1F" w14:paraId="0C74DF83" w14:textId="77777777" w:rsidTr="00717FBA">
            <w:trPr>
              <w:cantSplit/>
              <w:jc w:val="right"/>
            </w:trPr>
            <w:tc>
              <w:tcPr>
                <w:tcW w:w="1454" w:type="dxa"/>
                <w:tcBorders>
                  <w:top w:val="single" w:sz="6" w:space="0" w:color="auto"/>
                  <w:left w:val="double" w:sz="6" w:space="0" w:color="auto"/>
                  <w:bottom w:val="single" w:sz="6" w:space="0" w:color="auto"/>
                </w:tcBorders>
              </w:tcPr>
              <w:p w14:paraId="42703912" w14:textId="77777777" w:rsidR="001D181F" w:rsidRPr="00BD0142" w:rsidRDefault="001D181F" w:rsidP="001D181F">
                <w:pPr>
                  <w:jc w:val="center"/>
                </w:pPr>
                <w:r w:rsidRPr="00BD0142">
                  <w:t>1</w:t>
                </w:r>
              </w:p>
            </w:tc>
            <w:tc>
              <w:tcPr>
                <w:tcW w:w="2088" w:type="dxa"/>
                <w:tcBorders>
                  <w:top w:val="single" w:sz="6" w:space="0" w:color="auto"/>
                  <w:left w:val="single" w:sz="6" w:space="0" w:color="auto"/>
                  <w:bottom w:val="single" w:sz="6" w:space="0" w:color="auto"/>
                </w:tcBorders>
              </w:tcPr>
              <w:p w14:paraId="664A317E" w14:textId="77777777" w:rsidR="001D181F" w:rsidRPr="00BD0142" w:rsidRDefault="001D181F" w:rsidP="001D181F">
                <w:pPr>
                  <w:jc w:val="center"/>
                </w:pPr>
                <w:r w:rsidRPr="00BD0142">
                  <w:t>Apr. 17, 2002</w:t>
                </w:r>
              </w:p>
            </w:tc>
            <w:tc>
              <w:tcPr>
                <w:tcW w:w="1368" w:type="dxa"/>
                <w:tcBorders>
                  <w:top w:val="single" w:sz="6" w:space="0" w:color="auto"/>
                  <w:left w:val="single" w:sz="6" w:space="0" w:color="auto"/>
                  <w:bottom w:val="single" w:sz="6" w:space="0" w:color="auto"/>
                </w:tcBorders>
              </w:tcPr>
              <w:p w14:paraId="47599354" w14:textId="77777777" w:rsidR="001D181F" w:rsidRPr="00BD0142" w:rsidRDefault="001D181F" w:rsidP="001D181F">
                <w:pPr>
                  <w:jc w:val="center"/>
                </w:pPr>
                <w:r w:rsidRPr="00BD0142">
                  <w:t>11</w:t>
                </w:r>
              </w:p>
            </w:tc>
            <w:tc>
              <w:tcPr>
                <w:tcW w:w="4733" w:type="dxa"/>
                <w:tcBorders>
                  <w:top w:val="single" w:sz="6" w:space="0" w:color="auto"/>
                  <w:left w:val="single" w:sz="6" w:space="0" w:color="auto"/>
                  <w:bottom w:val="single" w:sz="6" w:space="0" w:color="auto"/>
                  <w:right w:val="double" w:sz="6" w:space="0" w:color="auto"/>
                </w:tcBorders>
              </w:tcPr>
              <w:p w14:paraId="5275CE36" w14:textId="77777777" w:rsidR="001D181F" w:rsidRPr="00BD0142" w:rsidRDefault="001D181F" w:rsidP="001D181F">
                <w:pPr>
                  <w:jc w:val="center"/>
                </w:pPr>
                <w:r w:rsidRPr="00BD0142">
                  <w:t xml:space="preserve">General </w:t>
                </w:r>
                <w:r>
                  <w:t>r</w:t>
                </w:r>
                <w:r w:rsidRPr="00BD0142">
                  <w:t>evision per James Da</w:t>
                </w:r>
              </w:p>
            </w:tc>
          </w:tr>
          <w:tr w:rsidR="001D181F" w:rsidRPr="009E6D1F" w14:paraId="133F4113" w14:textId="77777777" w:rsidTr="00717FBA">
            <w:trPr>
              <w:cantSplit/>
              <w:jc w:val="right"/>
            </w:trPr>
            <w:tc>
              <w:tcPr>
                <w:tcW w:w="1454" w:type="dxa"/>
                <w:tcBorders>
                  <w:top w:val="single" w:sz="6" w:space="0" w:color="auto"/>
                  <w:left w:val="double" w:sz="6" w:space="0" w:color="auto"/>
                  <w:bottom w:val="single" w:sz="6" w:space="0" w:color="auto"/>
                </w:tcBorders>
              </w:tcPr>
              <w:p w14:paraId="7AAF5BA9" w14:textId="77777777" w:rsidR="001D181F" w:rsidRPr="00BD0142" w:rsidRDefault="001D181F" w:rsidP="001D181F">
                <w:pPr>
                  <w:jc w:val="center"/>
                </w:pPr>
                <w:r w:rsidRPr="00BD0142">
                  <w:t>2</w:t>
                </w:r>
              </w:p>
            </w:tc>
            <w:tc>
              <w:tcPr>
                <w:tcW w:w="2088" w:type="dxa"/>
                <w:tcBorders>
                  <w:top w:val="single" w:sz="6" w:space="0" w:color="auto"/>
                  <w:left w:val="single" w:sz="6" w:space="0" w:color="auto"/>
                  <w:bottom w:val="single" w:sz="6" w:space="0" w:color="auto"/>
                </w:tcBorders>
              </w:tcPr>
              <w:p w14:paraId="345C4FA4" w14:textId="77777777" w:rsidR="001D181F" w:rsidRPr="00BD0142" w:rsidRDefault="001D181F" w:rsidP="001D181F">
                <w:pPr>
                  <w:jc w:val="center"/>
                </w:pPr>
                <w:r w:rsidRPr="00BD0142">
                  <w:t>May 2003</w:t>
                </w:r>
              </w:p>
            </w:tc>
            <w:tc>
              <w:tcPr>
                <w:tcW w:w="1368" w:type="dxa"/>
                <w:tcBorders>
                  <w:top w:val="single" w:sz="6" w:space="0" w:color="auto"/>
                  <w:left w:val="single" w:sz="6" w:space="0" w:color="auto"/>
                  <w:bottom w:val="single" w:sz="6" w:space="0" w:color="auto"/>
                </w:tcBorders>
              </w:tcPr>
              <w:p w14:paraId="54681A1F" w14:textId="77777777" w:rsidR="001D181F" w:rsidRPr="00BD0142" w:rsidRDefault="001D181F" w:rsidP="001D181F">
                <w:pPr>
                  <w:jc w:val="center"/>
                </w:pPr>
                <w:r w:rsidRPr="00BD0142">
                  <w:t>11</w:t>
                </w:r>
              </w:p>
            </w:tc>
            <w:tc>
              <w:tcPr>
                <w:tcW w:w="4733" w:type="dxa"/>
                <w:tcBorders>
                  <w:top w:val="single" w:sz="6" w:space="0" w:color="auto"/>
                  <w:left w:val="single" w:sz="6" w:space="0" w:color="auto"/>
                  <w:bottom w:val="single" w:sz="6" w:space="0" w:color="auto"/>
                  <w:right w:val="double" w:sz="6" w:space="0" w:color="auto"/>
                </w:tcBorders>
              </w:tcPr>
              <w:p w14:paraId="38BF0568" w14:textId="77777777" w:rsidR="001D181F" w:rsidRPr="00BD0142" w:rsidRDefault="001D181F" w:rsidP="001D181F">
                <w:pPr>
                  <w:jc w:val="center"/>
                </w:pPr>
                <w:r w:rsidRPr="00BD0142">
                  <w:t xml:space="preserve">General </w:t>
                </w:r>
                <w:r>
                  <w:t>r</w:t>
                </w:r>
                <w:r w:rsidRPr="00BD0142">
                  <w:t>evision per James Da</w:t>
                </w:r>
              </w:p>
            </w:tc>
          </w:tr>
          <w:tr w:rsidR="001D181F" w:rsidRPr="009E6D1F" w14:paraId="0E1D87B0" w14:textId="77777777" w:rsidTr="00717FBA">
            <w:trPr>
              <w:cantSplit/>
              <w:jc w:val="right"/>
            </w:trPr>
            <w:tc>
              <w:tcPr>
                <w:tcW w:w="1454" w:type="dxa"/>
                <w:tcBorders>
                  <w:top w:val="single" w:sz="6" w:space="0" w:color="auto"/>
                  <w:left w:val="double" w:sz="6" w:space="0" w:color="auto"/>
                  <w:bottom w:val="double" w:sz="6" w:space="0" w:color="auto"/>
                </w:tcBorders>
              </w:tcPr>
              <w:p w14:paraId="7CB024A7" w14:textId="77777777" w:rsidR="001D181F" w:rsidRPr="00BD0142" w:rsidRDefault="001D181F" w:rsidP="001D181F">
                <w:pPr>
                  <w:jc w:val="center"/>
                </w:pPr>
                <w:r w:rsidRPr="00BD0142">
                  <w:t>3</w:t>
                </w:r>
              </w:p>
            </w:tc>
            <w:tc>
              <w:tcPr>
                <w:tcW w:w="2088" w:type="dxa"/>
                <w:tcBorders>
                  <w:top w:val="single" w:sz="6" w:space="0" w:color="auto"/>
                  <w:left w:val="single" w:sz="6" w:space="0" w:color="auto"/>
                  <w:bottom w:val="double" w:sz="6" w:space="0" w:color="auto"/>
                </w:tcBorders>
              </w:tcPr>
              <w:p w14:paraId="0C7B2810" w14:textId="77777777" w:rsidR="001D181F" w:rsidRPr="00BD0142" w:rsidRDefault="001D181F" w:rsidP="001D181F">
                <w:pPr>
                  <w:jc w:val="center"/>
                </w:pPr>
                <w:r w:rsidRPr="00BD0142">
                  <w:t>Jan. 2004</w:t>
                </w:r>
              </w:p>
            </w:tc>
            <w:tc>
              <w:tcPr>
                <w:tcW w:w="1368" w:type="dxa"/>
                <w:tcBorders>
                  <w:top w:val="single" w:sz="6" w:space="0" w:color="auto"/>
                  <w:left w:val="single" w:sz="6" w:space="0" w:color="auto"/>
                  <w:bottom w:val="double" w:sz="6" w:space="0" w:color="auto"/>
                </w:tcBorders>
              </w:tcPr>
              <w:p w14:paraId="6BBC97FF" w14:textId="77777777" w:rsidR="001D181F" w:rsidRPr="00BD0142" w:rsidRDefault="001D181F" w:rsidP="001D181F">
                <w:pPr>
                  <w:jc w:val="center"/>
                </w:pPr>
                <w:r w:rsidRPr="00BD0142">
                  <w:t>11</w:t>
                </w:r>
              </w:p>
            </w:tc>
            <w:tc>
              <w:tcPr>
                <w:tcW w:w="4733" w:type="dxa"/>
                <w:tcBorders>
                  <w:top w:val="single" w:sz="6" w:space="0" w:color="auto"/>
                  <w:left w:val="single" w:sz="6" w:space="0" w:color="auto"/>
                  <w:bottom w:val="double" w:sz="6" w:space="0" w:color="auto"/>
                  <w:right w:val="double" w:sz="6" w:space="0" w:color="auto"/>
                </w:tcBorders>
              </w:tcPr>
              <w:p w14:paraId="3D1FF597" w14:textId="77777777" w:rsidR="001D181F" w:rsidRPr="00BD0142" w:rsidRDefault="001D181F" w:rsidP="001D181F">
                <w:pPr>
                  <w:jc w:val="center"/>
                </w:pPr>
                <w:r w:rsidRPr="00BD0142">
                  <w:t xml:space="preserve">General </w:t>
                </w:r>
                <w:r>
                  <w:t>r</w:t>
                </w:r>
                <w:r w:rsidRPr="00BD0142">
                  <w:t>evision per James Da</w:t>
                </w:r>
              </w:p>
            </w:tc>
          </w:tr>
          <w:tr w:rsidR="001D181F" w:rsidRPr="009E6D1F" w14:paraId="1A6401D4" w14:textId="77777777" w:rsidTr="00717FBA">
            <w:trPr>
              <w:cantSplit/>
              <w:jc w:val="right"/>
            </w:trPr>
            <w:tc>
              <w:tcPr>
                <w:tcW w:w="1454" w:type="dxa"/>
                <w:tcBorders>
                  <w:top w:val="single" w:sz="6" w:space="0" w:color="auto"/>
                  <w:left w:val="double" w:sz="6" w:space="0" w:color="auto"/>
                  <w:bottom w:val="double" w:sz="6" w:space="0" w:color="auto"/>
                </w:tcBorders>
              </w:tcPr>
              <w:p w14:paraId="1DEB18A5" w14:textId="77777777" w:rsidR="001D181F" w:rsidRPr="00BD0142" w:rsidRDefault="001D181F" w:rsidP="001D181F">
                <w:pPr>
                  <w:jc w:val="center"/>
                </w:pPr>
                <w:r w:rsidRPr="00BD0142">
                  <w:t>4</w:t>
                </w:r>
              </w:p>
            </w:tc>
            <w:tc>
              <w:tcPr>
                <w:tcW w:w="2088" w:type="dxa"/>
                <w:tcBorders>
                  <w:top w:val="single" w:sz="6" w:space="0" w:color="auto"/>
                  <w:left w:val="single" w:sz="6" w:space="0" w:color="auto"/>
                  <w:bottom w:val="double" w:sz="6" w:space="0" w:color="auto"/>
                </w:tcBorders>
              </w:tcPr>
              <w:p w14:paraId="5F1D4423" w14:textId="77777777" w:rsidR="001D181F" w:rsidRPr="00BD0142" w:rsidRDefault="001D181F" w:rsidP="001D181F">
                <w:pPr>
                  <w:jc w:val="center"/>
                </w:pPr>
                <w:r w:rsidRPr="00BD0142">
                  <w:t>Feb. 2005</w:t>
                </w:r>
              </w:p>
            </w:tc>
            <w:tc>
              <w:tcPr>
                <w:tcW w:w="1368" w:type="dxa"/>
                <w:tcBorders>
                  <w:top w:val="single" w:sz="6" w:space="0" w:color="auto"/>
                  <w:left w:val="single" w:sz="6" w:space="0" w:color="auto"/>
                  <w:bottom w:val="double" w:sz="6" w:space="0" w:color="auto"/>
                </w:tcBorders>
              </w:tcPr>
              <w:p w14:paraId="00CBD686" w14:textId="77777777" w:rsidR="001D181F" w:rsidRPr="00BD0142" w:rsidRDefault="001D181F" w:rsidP="001D181F">
                <w:pPr>
                  <w:jc w:val="center"/>
                </w:pPr>
                <w:r w:rsidRPr="00BD0142">
                  <w:t>10</w:t>
                </w:r>
              </w:p>
            </w:tc>
            <w:tc>
              <w:tcPr>
                <w:tcW w:w="4733" w:type="dxa"/>
                <w:tcBorders>
                  <w:top w:val="single" w:sz="6" w:space="0" w:color="auto"/>
                  <w:left w:val="single" w:sz="6" w:space="0" w:color="auto"/>
                  <w:bottom w:val="double" w:sz="6" w:space="0" w:color="auto"/>
                  <w:right w:val="double" w:sz="6" w:space="0" w:color="auto"/>
                </w:tcBorders>
              </w:tcPr>
              <w:p w14:paraId="26F1840F" w14:textId="77777777" w:rsidR="001D181F" w:rsidRPr="00BD0142" w:rsidRDefault="001D181F" w:rsidP="001D181F">
                <w:pPr>
                  <w:jc w:val="center"/>
                </w:pPr>
                <w:r w:rsidRPr="00BD0142">
                  <w:t xml:space="preserve">General </w:t>
                </w:r>
                <w:r>
                  <w:t>r</w:t>
                </w:r>
                <w:r w:rsidRPr="00BD0142">
                  <w:t>evision per James Da</w:t>
                </w:r>
              </w:p>
            </w:tc>
          </w:tr>
          <w:tr w:rsidR="001D181F" w:rsidRPr="009E6D1F" w14:paraId="4C5F30E7" w14:textId="77777777" w:rsidTr="00717FBA">
            <w:trPr>
              <w:cantSplit/>
              <w:jc w:val="right"/>
            </w:trPr>
            <w:tc>
              <w:tcPr>
                <w:tcW w:w="1454" w:type="dxa"/>
                <w:tcBorders>
                  <w:top w:val="single" w:sz="6" w:space="0" w:color="auto"/>
                  <w:left w:val="double" w:sz="6" w:space="0" w:color="auto"/>
                  <w:bottom w:val="double" w:sz="6" w:space="0" w:color="auto"/>
                </w:tcBorders>
              </w:tcPr>
              <w:p w14:paraId="09A6E0D9" w14:textId="77777777" w:rsidR="001D181F" w:rsidRPr="00BD0142" w:rsidRDefault="001D181F" w:rsidP="001D181F">
                <w:pPr>
                  <w:jc w:val="center"/>
                </w:pPr>
                <w:r>
                  <w:t>5</w:t>
                </w:r>
              </w:p>
            </w:tc>
            <w:tc>
              <w:tcPr>
                <w:tcW w:w="2088" w:type="dxa"/>
                <w:tcBorders>
                  <w:top w:val="single" w:sz="6" w:space="0" w:color="auto"/>
                  <w:left w:val="single" w:sz="6" w:space="0" w:color="auto"/>
                  <w:bottom w:val="double" w:sz="6" w:space="0" w:color="auto"/>
                </w:tcBorders>
              </w:tcPr>
              <w:p w14:paraId="620C90DA" w14:textId="77777777" w:rsidR="001D181F" w:rsidRPr="00BD0142" w:rsidRDefault="001D181F" w:rsidP="001D181F">
                <w:pPr>
                  <w:jc w:val="center"/>
                </w:pPr>
                <w:r>
                  <w:t>May 2005</w:t>
                </w:r>
              </w:p>
            </w:tc>
            <w:tc>
              <w:tcPr>
                <w:tcW w:w="1368" w:type="dxa"/>
                <w:tcBorders>
                  <w:top w:val="single" w:sz="6" w:space="0" w:color="auto"/>
                  <w:left w:val="single" w:sz="6" w:space="0" w:color="auto"/>
                  <w:bottom w:val="double" w:sz="6" w:space="0" w:color="auto"/>
                </w:tcBorders>
              </w:tcPr>
              <w:p w14:paraId="171DDD3E" w14:textId="77777777" w:rsidR="001D181F" w:rsidRPr="00BD0142" w:rsidRDefault="001D181F" w:rsidP="001D181F">
                <w:pPr>
                  <w:jc w:val="center"/>
                </w:pPr>
                <w:r>
                  <w:t>10</w:t>
                </w:r>
              </w:p>
            </w:tc>
            <w:tc>
              <w:tcPr>
                <w:tcW w:w="4733" w:type="dxa"/>
                <w:tcBorders>
                  <w:top w:val="single" w:sz="6" w:space="0" w:color="auto"/>
                  <w:left w:val="single" w:sz="6" w:space="0" w:color="auto"/>
                  <w:bottom w:val="double" w:sz="6" w:space="0" w:color="auto"/>
                  <w:right w:val="double" w:sz="6" w:space="0" w:color="auto"/>
                </w:tcBorders>
              </w:tcPr>
              <w:p w14:paraId="6FBD4DD1" w14:textId="77777777" w:rsidR="001D181F" w:rsidRPr="00BD0142" w:rsidRDefault="001D181F" w:rsidP="001D181F">
                <w:pPr>
                  <w:jc w:val="center"/>
                </w:pPr>
                <w:r w:rsidRPr="00BA413C">
                  <w:t>General revision per James Da</w:t>
                </w:r>
              </w:p>
            </w:tc>
          </w:tr>
          <w:tr w:rsidR="001D181F" w:rsidRPr="009E6D1F" w14:paraId="09001CAD" w14:textId="77777777" w:rsidTr="00717FBA">
            <w:trPr>
              <w:cantSplit/>
              <w:jc w:val="right"/>
            </w:trPr>
            <w:tc>
              <w:tcPr>
                <w:tcW w:w="1454" w:type="dxa"/>
                <w:tcBorders>
                  <w:top w:val="single" w:sz="6" w:space="0" w:color="auto"/>
                  <w:left w:val="double" w:sz="6" w:space="0" w:color="auto"/>
                  <w:bottom w:val="single" w:sz="6" w:space="0" w:color="auto"/>
                </w:tcBorders>
              </w:tcPr>
              <w:p w14:paraId="7AE3EFFF" w14:textId="77777777" w:rsidR="001D181F" w:rsidRDefault="001D181F" w:rsidP="001D181F">
                <w:pPr>
                  <w:jc w:val="center"/>
                </w:pPr>
                <w:r>
                  <w:t>6</w:t>
                </w:r>
              </w:p>
            </w:tc>
            <w:tc>
              <w:tcPr>
                <w:tcW w:w="2088" w:type="dxa"/>
                <w:tcBorders>
                  <w:top w:val="single" w:sz="6" w:space="0" w:color="auto"/>
                  <w:left w:val="single" w:sz="6" w:space="0" w:color="auto"/>
                  <w:bottom w:val="single" w:sz="6" w:space="0" w:color="auto"/>
                </w:tcBorders>
              </w:tcPr>
              <w:p w14:paraId="157B00ED" w14:textId="77777777" w:rsidR="001D181F" w:rsidRDefault="001D181F" w:rsidP="001D181F">
                <w:pPr>
                  <w:jc w:val="center"/>
                </w:pPr>
                <w:r>
                  <w:t>Jan. 2006</w:t>
                </w:r>
              </w:p>
            </w:tc>
            <w:tc>
              <w:tcPr>
                <w:tcW w:w="1368" w:type="dxa"/>
                <w:tcBorders>
                  <w:top w:val="single" w:sz="6" w:space="0" w:color="auto"/>
                  <w:left w:val="single" w:sz="6" w:space="0" w:color="auto"/>
                  <w:bottom w:val="single" w:sz="6" w:space="0" w:color="auto"/>
                </w:tcBorders>
              </w:tcPr>
              <w:p w14:paraId="2ADF3E2B" w14:textId="77777777" w:rsidR="001D181F" w:rsidRDefault="001D181F" w:rsidP="001D181F">
                <w:pPr>
                  <w:jc w:val="center"/>
                </w:pPr>
                <w:r>
                  <w:t>10</w:t>
                </w:r>
              </w:p>
            </w:tc>
            <w:tc>
              <w:tcPr>
                <w:tcW w:w="4733" w:type="dxa"/>
                <w:tcBorders>
                  <w:top w:val="single" w:sz="6" w:space="0" w:color="auto"/>
                  <w:left w:val="single" w:sz="6" w:space="0" w:color="auto"/>
                  <w:bottom w:val="single" w:sz="6" w:space="0" w:color="auto"/>
                  <w:right w:val="double" w:sz="6" w:space="0" w:color="auto"/>
                </w:tcBorders>
              </w:tcPr>
              <w:p w14:paraId="5160C8B1" w14:textId="77777777" w:rsidR="001D181F" w:rsidRPr="00BA413C" w:rsidRDefault="001D181F" w:rsidP="001D181F">
                <w:pPr>
                  <w:jc w:val="center"/>
                </w:pPr>
                <w:r>
                  <w:t>Revised Specification Numbers (CSI 2004)</w:t>
                </w:r>
              </w:p>
            </w:tc>
          </w:tr>
          <w:tr w:rsidR="001D181F" w:rsidRPr="009E6D1F" w14:paraId="62498AC5" w14:textId="77777777" w:rsidTr="00717FBA">
            <w:trPr>
              <w:cantSplit/>
              <w:jc w:val="right"/>
            </w:trPr>
            <w:tc>
              <w:tcPr>
                <w:tcW w:w="1454" w:type="dxa"/>
                <w:tcBorders>
                  <w:top w:val="single" w:sz="6" w:space="0" w:color="auto"/>
                  <w:left w:val="double" w:sz="6" w:space="0" w:color="auto"/>
                  <w:bottom w:val="double" w:sz="6" w:space="0" w:color="auto"/>
                </w:tcBorders>
              </w:tcPr>
              <w:p w14:paraId="6458BB50" w14:textId="77777777" w:rsidR="001D181F" w:rsidRPr="001D181F" w:rsidRDefault="001D181F" w:rsidP="001D181F">
                <w:pPr>
                  <w:jc w:val="center"/>
                  <w:rPr>
                    <w:rFonts w:cs="Arial"/>
                  </w:rPr>
                </w:pPr>
                <w:r w:rsidRPr="001D181F">
                  <w:rPr>
                    <w:rFonts w:cs="Arial"/>
                  </w:rPr>
                  <w:t>7</w:t>
                </w:r>
              </w:p>
            </w:tc>
            <w:tc>
              <w:tcPr>
                <w:tcW w:w="2088" w:type="dxa"/>
                <w:tcBorders>
                  <w:top w:val="single" w:sz="6" w:space="0" w:color="auto"/>
                  <w:left w:val="single" w:sz="6" w:space="0" w:color="auto"/>
                  <w:bottom w:val="double" w:sz="6" w:space="0" w:color="auto"/>
                </w:tcBorders>
              </w:tcPr>
              <w:p w14:paraId="3B16DB2F" w14:textId="77777777" w:rsidR="001D181F" w:rsidRPr="001D181F" w:rsidRDefault="001D181F" w:rsidP="001D181F">
                <w:pPr>
                  <w:jc w:val="center"/>
                  <w:rPr>
                    <w:rFonts w:cs="Arial"/>
                  </w:rPr>
                </w:pPr>
                <w:r w:rsidRPr="001D181F">
                  <w:rPr>
                    <w:rFonts w:cs="Arial"/>
                  </w:rPr>
                  <w:t>Jun 2017</w:t>
                </w:r>
              </w:p>
            </w:tc>
            <w:tc>
              <w:tcPr>
                <w:tcW w:w="1368" w:type="dxa"/>
                <w:tcBorders>
                  <w:top w:val="single" w:sz="6" w:space="0" w:color="auto"/>
                  <w:left w:val="single" w:sz="6" w:space="0" w:color="auto"/>
                  <w:bottom w:val="double" w:sz="6" w:space="0" w:color="auto"/>
                </w:tcBorders>
              </w:tcPr>
              <w:p w14:paraId="76E35BDC" w14:textId="77777777" w:rsidR="001D181F" w:rsidRPr="001D181F" w:rsidRDefault="001D181F" w:rsidP="001D181F">
                <w:pPr>
                  <w:jc w:val="center"/>
                  <w:rPr>
                    <w:rFonts w:cs="Arial"/>
                  </w:rPr>
                </w:pPr>
                <w:r w:rsidRPr="001D181F">
                  <w:rPr>
                    <w:rFonts w:cs="Arial"/>
                  </w:rPr>
                  <w:t>8</w:t>
                </w:r>
              </w:p>
            </w:tc>
            <w:tc>
              <w:tcPr>
                <w:tcW w:w="4733" w:type="dxa"/>
                <w:tcBorders>
                  <w:top w:val="single" w:sz="6" w:space="0" w:color="auto"/>
                  <w:left w:val="single" w:sz="6" w:space="0" w:color="auto"/>
                  <w:bottom w:val="double" w:sz="6" w:space="0" w:color="auto"/>
                  <w:right w:val="double" w:sz="6" w:space="0" w:color="auto"/>
                </w:tcBorders>
              </w:tcPr>
              <w:p w14:paraId="0B47F332" w14:textId="77777777" w:rsidR="001D181F" w:rsidRPr="001D181F" w:rsidRDefault="001D181F" w:rsidP="001D181F">
                <w:pPr>
                  <w:jc w:val="center"/>
                  <w:rPr>
                    <w:rFonts w:cs="Arial"/>
                  </w:rPr>
                </w:pPr>
                <w:r w:rsidRPr="001D181F">
                  <w:rPr>
                    <w:rFonts w:cs="Arial"/>
                  </w:rPr>
                  <w:t>Specification update</w:t>
                </w:r>
              </w:p>
            </w:tc>
          </w:tr>
        </w:tbl>
        <w:p w14:paraId="3A5D9DF4" w14:textId="77777777" w:rsidR="00DE3529" w:rsidRDefault="00DE3529" w:rsidP="00F05665">
          <w:pPr>
            <w:tabs>
              <w:tab w:val="left" w:pos="7685"/>
            </w:tabs>
          </w:pPr>
        </w:p>
        <w:p w14:paraId="3481732E" w14:textId="77777777" w:rsidR="00DE3529" w:rsidRDefault="00DE3529" w:rsidP="00F05665">
          <w:pPr>
            <w:tabs>
              <w:tab w:val="left" w:pos="7685"/>
            </w:tabs>
          </w:pPr>
        </w:p>
        <w:p w14:paraId="652C87DF" w14:textId="77777777" w:rsidR="00DE3529" w:rsidRDefault="00DE3529" w:rsidP="00F05665">
          <w:pPr>
            <w:tabs>
              <w:tab w:val="left" w:pos="7685"/>
            </w:tabs>
          </w:pPr>
        </w:p>
        <w:p w14:paraId="78655FE2" w14:textId="77777777" w:rsidR="001D181F" w:rsidRDefault="001D181F" w:rsidP="00F05665">
          <w:pPr>
            <w:tabs>
              <w:tab w:val="left" w:pos="7685"/>
            </w:tabs>
          </w:pPr>
        </w:p>
        <w:p w14:paraId="641C5431" w14:textId="77777777" w:rsidR="001D181F" w:rsidRDefault="001D181F" w:rsidP="00F05665">
          <w:pPr>
            <w:tabs>
              <w:tab w:val="left" w:pos="7685"/>
            </w:tabs>
          </w:pPr>
        </w:p>
        <w:p w14:paraId="2DD6B5A4" w14:textId="77777777" w:rsidR="001D181F" w:rsidRDefault="001D181F" w:rsidP="00F05665">
          <w:pPr>
            <w:tabs>
              <w:tab w:val="left" w:pos="7685"/>
            </w:tabs>
          </w:pPr>
        </w:p>
        <w:p w14:paraId="21032641" w14:textId="77777777" w:rsidR="001D181F" w:rsidRDefault="001D181F" w:rsidP="00F05665">
          <w:pPr>
            <w:tabs>
              <w:tab w:val="left" w:pos="7685"/>
            </w:tabs>
          </w:pPr>
        </w:p>
        <w:p w14:paraId="10DF3EA5" w14:textId="77777777" w:rsidR="001D181F" w:rsidRDefault="001D181F" w:rsidP="00F05665">
          <w:pPr>
            <w:tabs>
              <w:tab w:val="left" w:pos="7685"/>
            </w:tabs>
          </w:pPr>
        </w:p>
        <w:p w14:paraId="5F72E7CD" w14:textId="77777777" w:rsidR="001D181F" w:rsidRDefault="001D181F" w:rsidP="00F05665">
          <w:pPr>
            <w:tabs>
              <w:tab w:val="left" w:pos="7685"/>
            </w:tabs>
          </w:pPr>
        </w:p>
        <w:p w14:paraId="56339596" w14:textId="77777777" w:rsidR="00DE3529" w:rsidRPr="00DE3529" w:rsidRDefault="00DE3529" w:rsidP="00DE3529">
          <w:pPr>
            <w:spacing w:line="360" w:lineRule="auto"/>
            <w:rPr>
              <w:rFonts w:ascii="Mrs Eaves OT" w:hAnsi="Mrs Eaves OT"/>
            </w:rPr>
          </w:pPr>
        </w:p>
        <w:p w14:paraId="13FE8DD6" w14:textId="77777777" w:rsidR="00DE3529" w:rsidRPr="00DE3529" w:rsidRDefault="00DE3529" w:rsidP="00DE3529">
          <w:pPr>
            <w:spacing w:line="360" w:lineRule="auto"/>
            <w:rPr>
              <w:rFonts w:ascii="Mrs Eaves OT" w:hAnsi="Mrs Eaves OT"/>
              <w:color w:val="003767"/>
              <w:sz w:val="16"/>
              <w:szCs w:val="16"/>
            </w:rPr>
          </w:pPr>
          <w:r w:rsidRPr="00DE3529">
            <w:rPr>
              <w:rFonts w:ascii="Mrs Eaves OT" w:hAnsi="Mrs Eaves OT"/>
              <w:color w:val="003767"/>
              <w:sz w:val="16"/>
              <w:szCs w:val="16"/>
            </w:rPr>
            <w:t xml:space="preserve">The University of Texas at Arlington </w:t>
          </w:r>
          <w:r w:rsidRPr="00DE3529">
            <w:rPr>
              <w:rFonts w:ascii="Courier New" w:hAnsi="Courier New" w:cs="Courier New"/>
              <w:color w:val="003767"/>
              <w:sz w:val="16"/>
              <w:szCs w:val="16"/>
            </w:rPr>
            <w:t>·</w:t>
          </w:r>
          <w:r w:rsidRPr="00DE3529">
            <w:rPr>
              <w:rFonts w:ascii="Mrs Eaves OT" w:hAnsi="Mrs Eaves OT"/>
              <w:color w:val="003767"/>
              <w:sz w:val="16"/>
              <w:szCs w:val="16"/>
            </w:rPr>
            <w:t xml:space="preserve"> The University of Texas at Austin </w:t>
          </w:r>
          <w:r w:rsidRPr="00DE3529">
            <w:rPr>
              <w:rFonts w:ascii="Courier New" w:hAnsi="Courier New" w:cs="Courier New"/>
              <w:color w:val="003767"/>
              <w:sz w:val="16"/>
              <w:szCs w:val="16"/>
            </w:rPr>
            <w:t>·</w:t>
          </w:r>
          <w:r w:rsidRPr="00DE3529">
            <w:rPr>
              <w:rFonts w:ascii="Mrs Eaves OT" w:hAnsi="Mrs Eaves OT"/>
              <w:color w:val="003767"/>
              <w:sz w:val="16"/>
              <w:szCs w:val="16"/>
            </w:rPr>
            <w:t xml:space="preserve"> The University of Texas at Dallas </w:t>
          </w:r>
          <w:r w:rsidRPr="00DE3529">
            <w:rPr>
              <w:rFonts w:ascii="Courier New" w:hAnsi="Courier New" w:cs="Courier New"/>
              <w:color w:val="003767"/>
              <w:sz w:val="16"/>
              <w:szCs w:val="16"/>
            </w:rPr>
            <w:t>·</w:t>
          </w:r>
          <w:r w:rsidRPr="00DE3529">
            <w:rPr>
              <w:rFonts w:ascii="Mrs Eaves OT" w:hAnsi="Mrs Eaves OT"/>
              <w:color w:val="003767"/>
              <w:sz w:val="16"/>
              <w:szCs w:val="16"/>
            </w:rPr>
            <w:t xml:space="preserve"> The University of Texas at El Paso</w:t>
          </w:r>
        </w:p>
        <w:p w14:paraId="27940543" w14:textId="77777777" w:rsidR="00DE3529" w:rsidRPr="00DE3529" w:rsidRDefault="00DE3529" w:rsidP="00DE3529">
          <w:pPr>
            <w:spacing w:line="360" w:lineRule="auto"/>
            <w:rPr>
              <w:rFonts w:ascii="Mrs Eaves OT" w:hAnsi="Mrs Eaves OT"/>
              <w:color w:val="003767"/>
              <w:sz w:val="16"/>
              <w:szCs w:val="16"/>
            </w:rPr>
          </w:pPr>
          <w:r w:rsidRPr="00DE3529">
            <w:rPr>
              <w:rFonts w:ascii="Mrs Eaves OT" w:hAnsi="Mrs Eaves OT"/>
              <w:color w:val="003767"/>
              <w:sz w:val="16"/>
              <w:szCs w:val="16"/>
            </w:rPr>
            <w:t xml:space="preserve">The University of Texas of the Permian Basin </w:t>
          </w:r>
          <w:r w:rsidRPr="00DE3529">
            <w:rPr>
              <w:rFonts w:ascii="Courier New" w:hAnsi="Courier New" w:cs="Courier New"/>
              <w:color w:val="003767"/>
              <w:sz w:val="16"/>
              <w:szCs w:val="16"/>
            </w:rPr>
            <w:t>·</w:t>
          </w:r>
          <w:r w:rsidRPr="00DE3529">
            <w:rPr>
              <w:rFonts w:ascii="Mrs Eaves OT" w:hAnsi="Mrs Eaves OT"/>
              <w:color w:val="003767"/>
              <w:sz w:val="16"/>
              <w:szCs w:val="16"/>
            </w:rPr>
            <w:t xml:space="preserve"> The University of Texas Rio Grande Valley </w:t>
          </w:r>
          <w:r w:rsidRPr="00DE3529">
            <w:rPr>
              <w:rFonts w:ascii="Courier New" w:hAnsi="Courier New" w:cs="Courier New"/>
              <w:color w:val="003767"/>
              <w:sz w:val="16"/>
              <w:szCs w:val="16"/>
            </w:rPr>
            <w:t>·</w:t>
          </w:r>
          <w:r w:rsidRPr="00DE3529">
            <w:rPr>
              <w:rFonts w:ascii="Mrs Eaves OT" w:hAnsi="Mrs Eaves OT"/>
              <w:color w:val="003767"/>
              <w:sz w:val="16"/>
              <w:szCs w:val="16"/>
            </w:rPr>
            <w:t xml:space="preserve"> The University of Texas at San Antonio</w:t>
          </w:r>
        </w:p>
        <w:p w14:paraId="749AAFDB" w14:textId="77777777" w:rsidR="00DE3529" w:rsidRPr="00DE3529" w:rsidRDefault="00DE3529" w:rsidP="00DE3529">
          <w:pPr>
            <w:spacing w:line="360" w:lineRule="auto"/>
            <w:ind w:left="-720"/>
            <w:jc w:val="center"/>
            <w:rPr>
              <w:rFonts w:ascii="Mrs Eaves OT" w:hAnsi="Mrs Eaves OT"/>
              <w:color w:val="003767"/>
              <w:sz w:val="16"/>
              <w:szCs w:val="16"/>
            </w:rPr>
          </w:pPr>
          <w:r w:rsidRPr="00DE3529">
            <w:rPr>
              <w:rFonts w:ascii="Mrs Eaves OT" w:hAnsi="Mrs Eaves OT"/>
              <w:color w:val="003767"/>
              <w:sz w:val="16"/>
              <w:szCs w:val="16"/>
            </w:rPr>
            <w:t xml:space="preserve">The University of Texas at Tyler </w:t>
          </w:r>
          <w:r w:rsidRPr="00DE3529">
            <w:rPr>
              <w:rFonts w:ascii="Courier New" w:hAnsi="Courier New" w:cs="Courier New"/>
              <w:color w:val="003767"/>
              <w:sz w:val="16"/>
              <w:szCs w:val="16"/>
            </w:rPr>
            <w:t>·</w:t>
          </w:r>
          <w:r w:rsidRPr="00DE3529">
            <w:rPr>
              <w:rFonts w:ascii="Mrs Eaves OT" w:hAnsi="Mrs Eaves OT"/>
              <w:color w:val="003767"/>
              <w:sz w:val="16"/>
              <w:szCs w:val="16"/>
            </w:rPr>
            <w:t xml:space="preserve"> The University of Texas Southwestern Medical Center </w:t>
          </w:r>
          <w:r w:rsidRPr="00DE3529">
            <w:rPr>
              <w:rFonts w:ascii="Courier New" w:hAnsi="Courier New" w:cs="Courier New"/>
              <w:color w:val="003767"/>
              <w:sz w:val="16"/>
              <w:szCs w:val="16"/>
            </w:rPr>
            <w:t>·</w:t>
          </w:r>
          <w:r w:rsidRPr="00DE3529">
            <w:rPr>
              <w:rFonts w:ascii="Mrs Eaves OT" w:hAnsi="Mrs Eaves OT"/>
              <w:color w:val="003767"/>
              <w:sz w:val="16"/>
              <w:szCs w:val="16"/>
            </w:rPr>
            <w:t xml:space="preserve"> The University of Texas Medical Branch at Galveston</w:t>
          </w:r>
        </w:p>
        <w:p w14:paraId="6D596090" w14:textId="77777777" w:rsidR="00DE3529" w:rsidRPr="00DE3529" w:rsidRDefault="00DE3529" w:rsidP="00DE3529">
          <w:pPr>
            <w:spacing w:line="360" w:lineRule="auto"/>
            <w:ind w:left="-720"/>
            <w:jc w:val="center"/>
            <w:rPr>
              <w:rFonts w:ascii="Mrs Eaves OT" w:hAnsi="Mrs Eaves OT"/>
              <w:color w:val="003767"/>
              <w:sz w:val="16"/>
              <w:szCs w:val="16"/>
            </w:rPr>
          </w:pPr>
          <w:r w:rsidRPr="00DE3529">
            <w:rPr>
              <w:rFonts w:ascii="Mrs Eaves OT" w:hAnsi="Mrs Eaves OT"/>
              <w:color w:val="003767"/>
              <w:sz w:val="16"/>
              <w:szCs w:val="16"/>
            </w:rPr>
            <w:t xml:space="preserve">The University of Texas Health Science Center at Houston </w:t>
          </w:r>
          <w:r w:rsidRPr="00DE3529">
            <w:rPr>
              <w:rFonts w:ascii="Courier New" w:hAnsi="Courier New" w:cs="Courier New"/>
              <w:color w:val="003767"/>
              <w:sz w:val="16"/>
              <w:szCs w:val="16"/>
            </w:rPr>
            <w:t>·</w:t>
          </w:r>
          <w:r w:rsidRPr="00DE3529">
            <w:rPr>
              <w:rFonts w:ascii="Mrs Eaves OT" w:hAnsi="Mrs Eaves OT"/>
              <w:color w:val="003767"/>
              <w:sz w:val="16"/>
              <w:szCs w:val="16"/>
            </w:rPr>
            <w:t xml:space="preserve"> The University of Texas Health Science Center at San Antonio</w:t>
          </w:r>
        </w:p>
        <w:p w14:paraId="18DA65D5" w14:textId="77777777" w:rsidR="00DE3529" w:rsidRPr="00DE3529" w:rsidRDefault="00DE3529" w:rsidP="00DE3529">
          <w:pPr>
            <w:spacing w:line="360" w:lineRule="auto"/>
            <w:ind w:left="-720"/>
            <w:jc w:val="center"/>
            <w:rPr>
              <w:rFonts w:ascii="Mrs Eaves OT" w:hAnsi="Mrs Eaves OT"/>
            </w:rPr>
          </w:pPr>
          <w:r w:rsidRPr="00DE3529">
            <w:rPr>
              <w:rFonts w:ascii="Mrs Eaves OT" w:hAnsi="Mrs Eaves OT"/>
              <w:color w:val="003767"/>
              <w:sz w:val="16"/>
              <w:szCs w:val="16"/>
            </w:rPr>
            <w:t xml:space="preserve">The University of Texas MD Anderson Cancer Center </w:t>
          </w:r>
          <w:r w:rsidRPr="00DE3529">
            <w:rPr>
              <w:rFonts w:ascii="Courier New" w:hAnsi="Courier New" w:cs="Courier New"/>
              <w:color w:val="003767"/>
              <w:sz w:val="16"/>
              <w:szCs w:val="16"/>
            </w:rPr>
            <w:t>·</w:t>
          </w:r>
          <w:r w:rsidRPr="00DE3529">
            <w:rPr>
              <w:rFonts w:ascii="Mrs Eaves OT" w:hAnsi="Mrs Eaves OT"/>
              <w:color w:val="003767"/>
              <w:sz w:val="16"/>
              <w:szCs w:val="16"/>
            </w:rPr>
            <w:t xml:space="preserve"> The University of Texas Health Science Center at Tyler</w:t>
          </w:r>
          <w:r w:rsidRPr="00DE3529">
            <w:rPr>
              <w:rFonts w:ascii="Mrs Eaves OT" w:hAnsi="Mrs Eaves OT"/>
            </w:rPr>
            <w:tab/>
          </w:r>
        </w:p>
        <w:p w14:paraId="0D81570D" w14:textId="77777777" w:rsidR="00DE3529" w:rsidRDefault="00DE3529">
          <w:pPr>
            <w:widowControl/>
            <w:rPr>
              <w:b/>
              <w:caps/>
            </w:rPr>
          </w:pPr>
          <w:r>
            <w:br w:type="page"/>
          </w:r>
        </w:p>
      </w:sdtContent>
    </w:sdt>
    <w:p w14:paraId="35F549D1" w14:textId="77777777" w:rsidR="005D2221" w:rsidRDefault="00A55049" w:rsidP="00516AF7">
      <w:pPr>
        <w:pStyle w:val="CMT"/>
      </w:pPr>
      <w:r>
        <w:lastRenderedPageBreak/>
        <w:t>SECTION 26 27 26 – wiring devices</w:t>
      </w:r>
    </w:p>
    <w:p w14:paraId="1E1DA454" w14:textId="77777777" w:rsidR="005D2221" w:rsidRDefault="005D2221">
      <w:pPr>
        <w:pStyle w:val="PRT"/>
      </w:pPr>
      <w:r>
        <w:t>GENERAL</w:t>
      </w:r>
    </w:p>
    <w:p w14:paraId="7235F657" w14:textId="77777777" w:rsidR="005D2221" w:rsidRPr="005E535C" w:rsidRDefault="005D2221" w:rsidP="005E535C">
      <w:pPr>
        <w:pStyle w:val="ART"/>
        <w:numPr>
          <w:ilvl w:val="3"/>
          <w:numId w:val="2"/>
        </w:numPr>
        <w:rPr>
          <w:b/>
        </w:rPr>
      </w:pPr>
      <w:r w:rsidRPr="005E535C">
        <w:rPr>
          <w:b/>
        </w:rPr>
        <w:t>RELATED DOCUMENTS</w:t>
      </w:r>
    </w:p>
    <w:p w14:paraId="1B3860EB" w14:textId="77777777" w:rsidR="005D2221" w:rsidRPr="00B812D5" w:rsidRDefault="007D4698" w:rsidP="00197BBA">
      <w:pPr>
        <w:pStyle w:val="PR1"/>
      </w:pPr>
      <w:r>
        <w:t>Drawings</w:t>
      </w:r>
      <w:r w:rsidR="005D2221">
        <w:t xml:space="preserve"> and general provisions of the </w:t>
      </w:r>
      <w:r>
        <w:t>Contract</w:t>
      </w:r>
      <w:r w:rsidR="005D2221">
        <w:t xml:space="preserve">, including </w:t>
      </w:r>
      <w:r w:rsidR="00CE7C11">
        <w:t>General Conditions</w:t>
      </w:r>
      <w:r w:rsidR="00B30F24">
        <w:t xml:space="preserve"> and Division 0</w:t>
      </w:r>
      <w:r w:rsidR="005D2221">
        <w:t>1 Specification Sections, apply to this Section.</w:t>
      </w:r>
    </w:p>
    <w:p w14:paraId="5CEACDD8" w14:textId="77777777" w:rsidR="005D2221" w:rsidRPr="00B812D5" w:rsidRDefault="007D4698" w:rsidP="00197BBA">
      <w:pPr>
        <w:pStyle w:val="PR1"/>
      </w:pPr>
      <w:r w:rsidRPr="00B812D5">
        <w:t>Specifications</w:t>
      </w:r>
      <w:r w:rsidR="005D2221" w:rsidRPr="00B812D5">
        <w:t xml:space="preserve"> throughout all Divisions of the Project Manual are directly applicable to this Section, and this Section is directly applicable to them.</w:t>
      </w:r>
    </w:p>
    <w:p w14:paraId="36E7B355" w14:textId="77777777" w:rsidR="005D2221" w:rsidRPr="005E535C" w:rsidRDefault="005D2221" w:rsidP="00197BBA">
      <w:pPr>
        <w:pStyle w:val="ART"/>
        <w:numPr>
          <w:ilvl w:val="3"/>
          <w:numId w:val="2"/>
        </w:numPr>
        <w:rPr>
          <w:b/>
        </w:rPr>
      </w:pPr>
      <w:r w:rsidRPr="005E535C">
        <w:rPr>
          <w:b/>
        </w:rPr>
        <w:t>SUMMARY</w:t>
      </w:r>
    </w:p>
    <w:p w14:paraId="71D791E0" w14:textId="77777777" w:rsidR="00FE3CDA" w:rsidRDefault="00FE3CDA" w:rsidP="00197BBA">
      <w:pPr>
        <w:pStyle w:val="PR1"/>
      </w:pPr>
      <w:r>
        <w:t xml:space="preserve">This </w:t>
      </w:r>
      <w:r w:rsidR="00B30F24">
        <w:t>S</w:t>
      </w:r>
      <w:r>
        <w:t>ection specifies the requirements for wiring devices</w:t>
      </w:r>
      <w:r w:rsidR="007B00C7">
        <w:t>, including</w:t>
      </w:r>
      <w:r>
        <w:t xml:space="preserve"> wall switches, receptacles, device plate covers, wall dimmers</w:t>
      </w:r>
      <w:r w:rsidR="003D21C9">
        <w:t>, and occupancy sensors</w:t>
      </w:r>
      <w:r>
        <w:t>.</w:t>
      </w:r>
    </w:p>
    <w:p w14:paraId="760441F2" w14:textId="77777777" w:rsidR="005D2221" w:rsidRPr="005E535C" w:rsidRDefault="005D2221" w:rsidP="00197BBA">
      <w:pPr>
        <w:pStyle w:val="ART"/>
        <w:numPr>
          <w:ilvl w:val="3"/>
          <w:numId w:val="2"/>
        </w:numPr>
        <w:rPr>
          <w:b/>
        </w:rPr>
      </w:pPr>
      <w:r w:rsidRPr="005E535C">
        <w:rPr>
          <w:b/>
        </w:rPr>
        <w:t>REFERENCE STANDARDS</w:t>
      </w:r>
    </w:p>
    <w:p w14:paraId="1C62DF9F" w14:textId="77777777" w:rsidR="005D2221" w:rsidRDefault="005D2221" w:rsidP="00197BBA">
      <w:pPr>
        <w:pStyle w:val="PR1"/>
      </w:pPr>
      <w:r>
        <w:t>The latest published edition of a reference shall be applicable to this Project unless identified by a specific edition date.</w:t>
      </w:r>
    </w:p>
    <w:p w14:paraId="1829903C" w14:textId="77777777" w:rsidR="005D2221" w:rsidRDefault="005D2221" w:rsidP="00197BBA">
      <w:pPr>
        <w:pStyle w:val="PR1"/>
      </w:pPr>
      <w:r>
        <w:t xml:space="preserve">All reference amendments adopted prior to the effective date of this </w:t>
      </w:r>
      <w:r w:rsidR="007D4698">
        <w:t>Contract</w:t>
      </w:r>
      <w:r>
        <w:t xml:space="preserve"> shall be applicable to this Project.</w:t>
      </w:r>
    </w:p>
    <w:p w14:paraId="0D8F0D7D" w14:textId="77777777" w:rsidR="005D2221" w:rsidRDefault="005D2221" w:rsidP="00197BBA">
      <w:pPr>
        <w:pStyle w:val="PR1"/>
      </w:pPr>
      <w:r>
        <w:t>All materials, installation and workmanship shall comply with the applicable requirements and standards addressed within the following references:</w:t>
      </w:r>
    </w:p>
    <w:p w14:paraId="44053706" w14:textId="77777777" w:rsidR="005819EF" w:rsidRPr="00B30F24" w:rsidRDefault="005819EF" w:rsidP="00B30F24">
      <w:pPr>
        <w:pStyle w:val="PR2"/>
      </w:pPr>
      <w:r w:rsidRPr="00B30F24">
        <w:t>NEMA WD 1 - General-Purpose Wiring Devices.</w:t>
      </w:r>
    </w:p>
    <w:p w14:paraId="171CA704" w14:textId="77777777" w:rsidR="005819EF" w:rsidRPr="00B30F24" w:rsidRDefault="005819EF" w:rsidP="00B30F24">
      <w:pPr>
        <w:pStyle w:val="PR2"/>
      </w:pPr>
      <w:r w:rsidRPr="00B30F24">
        <w:t>NEMA WD 2 - Semiconductor Dimmers for Incandescent Lamps.</w:t>
      </w:r>
    </w:p>
    <w:p w14:paraId="41400305" w14:textId="77777777" w:rsidR="005819EF" w:rsidRPr="00B30F24" w:rsidRDefault="005819EF" w:rsidP="00B30F24">
      <w:pPr>
        <w:pStyle w:val="PR2"/>
      </w:pPr>
      <w:r w:rsidRPr="00B30F24">
        <w:t xml:space="preserve">NEMA WD 5 - Specific-Purpose </w:t>
      </w:r>
      <w:r w:rsidR="003D21C9">
        <w:t>W</w:t>
      </w:r>
      <w:r w:rsidRPr="00B30F24">
        <w:t>iring Devices.</w:t>
      </w:r>
    </w:p>
    <w:p w14:paraId="4FC0A3FE" w14:textId="77777777" w:rsidR="005819EF" w:rsidRPr="00B30F24" w:rsidRDefault="005819EF" w:rsidP="00B30F24">
      <w:pPr>
        <w:pStyle w:val="PR2"/>
      </w:pPr>
      <w:r w:rsidRPr="00B30F24">
        <w:t>Americans with Disabilities Act (</w:t>
      </w:r>
      <w:smartTag w:uri="urn:schemas-microsoft-com:office:smarttags" w:element="City">
        <w:smartTag w:uri="urn:schemas-microsoft-com:office:smarttags" w:element="place">
          <w:r w:rsidRPr="00B30F24">
            <w:t>ADA</w:t>
          </w:r>
        </w:smartTag>
      </w:smartTag>
      <w:r w:rsidRPr="00B30F24">
        <w:t>).</w:t>
      </w:r>
    </w:p>
    <w:p w14:paraId="2C602490" w14:textId="77777777" w:rsidR="005819EF" w:rsidRPr="00B30F24" w:rsidRDefault="005819EF" w:rsidP="00B30F24">
      <w:pPr>
        <w:pStyle w:val="PR2"/>
      </w:pPr>
      <w:r w:rsidRPr="00B30F24">
        <w:t>ANSI/UL 20 - General Use Snap Switches.</w:t>
      </w:r>
    </w:p>
    <w:p w14:paraId="7F676141" w14:textId="77777777" w:rsidR="005819EF" w:rsidRPr="00B30F24" w:rsidRDefault="005819EF" w:rsidP="00B30F24">
      <w:pPr>
        <w:pStyle w:val="PR2"/>
      </w:pPr>
      <w:r w:rsidRPr="00B30F24">
        <w:t>ANSI/UL 498 - Attachment Plugs and Receptacles.</w:t>
      </w:r>
    </w:p>
    <w:p w14:paraId="3C0AFC9D" w14:textId="77777777" w:rsidR="005D2221" w:rsidRDefault="005819EF" w:rsidP="00B30F24">
      <w:pPr>
        <w:pStyle w:val="PR2"/>
      </w:pPr>
      <w:r w:rsidRPr="00B30F24">
        <w:t>ANSI/UL 943- Ground Fault Circuit Interrupters.</w:t>
      </w:r>
    </w:p>
    <w:p w14:paraId="0C89F292" w14:textId="77777777" w:rsidR="0075026A" w:rsidRDefault="0075026A" w:rsidP="0075026A">
      <w:pPr>
        <w:pStyle w:val="PR2"/>
      </w:pPr>
      <w:r>
        <w:t>NFPA 70 - National Electrical Code (NEC).</w:t>
      </w:r>
    </w:p>
    <w:p w14:paraId="232B9538" w14:textId="77777777" w:rsidR="0075026A" w:rsidRDefault="0075026A" w:rsidP="0075026A">
      <w:pPr>
        <w:pStyle w:val="PR2"/>
      </w:pPr>
      <w:r>
        <w:t>Texas Accessibility Standards (TAS).</w:t>
      </w:r>
    </w:p>
    <w:p w14:paraId="5A085870" w14:textId="77777777" w:rsidR="0075026A" w:rsidRDefault="0075026A" w:rsidP="0075026A">
      <w:pPr>
        <w:pStyle w:val="PR2"/>
      </w:pPr>
      <w:r>
        <w:t>Americans with Disabilities Act (ADA).</w:t>
      </w:r>
    </w:p>
    <w:p w14:paraId="0D35AB64" w14:textId="77777777" w:rsidR="0075026A" w:rsidRDefault="0075026A" w:rsidP="0075026A">
      <w:pPr>
        <w:pStyle w:val="PR2"/>
      </w:pPr>
      <w:r>
        <w:t>ANSI/IEEE 62.41 - Guide for Surge Voltages in Low-Voltage AC Power Circuits.</w:t>
      </w:r>
    </w:p>
    <w:p w14:paraId="5EFCC19D" w14:textId="77777777" w:rsidR="0075026A" w:rsidRPr="00B30F24" w:rsidRDefault="0075026A" w:rsidP="00B30F24">
      <w:pPr>
        <w:pStyle w:val="PR2"/>
      </w:pPr>
      <w:r>
        <w:t>ASHRAE 90.1-201</w:t>
      </w:r>
      <w:r w:rsidR="00F60E84">
        <w:t>3</w:t>
      </w:r>
      <w:r>
        <w:t xml:space="preserve"> - Energy Standard for Buildings Except Low-Rise Residential Buildings.</w:t>
      </w:r>
    </w:p>
    <w:p w14:paraId="219C9D45" w14:textId="77777777" w:rsidR="005D2221" w:rsidRPr="005E535C" w:rsidRDefault="005D2221" w:rsidP="00197BBA">
      <w:pPr>
        <w:pStyle w:val="ART"/>
        <w:numPr>
          <w:ilvl w:val="3"/>
          <w:numId w:val="2"/>
        </w:numPr>
        <w:rPr>
          <w:b/>
        </w:rPr>
      </w:pPr>
      <w:r w:rsidRPr="005E535C">
        <w:rPr>
          <w:b/>
        </w:rPr>
        <w:t>SUBMITTALS</w:t>
      </w:r>
    </w:p>
    <w:p w14:paraId="104A35DD" w14:textId="77777777" w:rsidR="005D2221" w:rsidRDefault="005D2221" w:rsidP="00197BBA">
      <w:pPr>
        <w:pStyle w:val="PR1"/>
      </w:pPr>
      <w:r>
        <w:t>Product Data:</w:t>
      </w:r>
    </w:p>
    <w:p w14:paraId="0A0111F1" w14:textId="77777777" w:rsidR="005D2221" w:rsidRDefault="005965C5">
      <w:pPr>
        <w:pStyle w:val="PR2"/>
      </w:pPr>
      <w:r>
        <w:t xml:space="preserve">Submit manufacturer's product data for </w:t>
      </w:r>
      <w:r w:rsidR="00B30F24">
        <w:t xml:space="preserve">all </w:t>
      </w:r>
      <w:r>
        <w:t xml:space="preserve">wiring devices and </w:t>
      </w:r>
      <w:r w:rsidR="003D21C9">
        <w:t>device plates</w:t>
      </w:r>
      <w:r w:rsidR="00B30F24">
        <w:t>.</w:t>
      </w:r>
    </w:p>
    <w:p w14:paraId="6619F5EF" w14:textId="77777777" w:rsidR="00082363" w:rsidRDefault="00082363">
      <w:pPr>
        <w:pStyle w:val="PR2"/>
      </w:pPr>
      <w:r>
        <w:t>Occupancy Sensor Shop Drawings</w:t>
      </w:r>
    </w:p>
    <w:p w14:paraId="0CFCB22F" w14:textId="77777777" w:rsidR="005109FC" w:rsidRDefault="005109FC" w:rsidP="00992E94">
      <w:pPr>
        <w:pStyle w:val="PR3"/>
      </w:pPr>
      <w:r>
        <w:lastRenderedPageBreak/>
        <w:t>Shop drawings indicating occupancy sensor type, quantity, coverage, field of view</w:t>
      </w:r>
      <w:r w:rsidR="00082363">
        <w:t xml:space="preserve"> and location and quantity of power packs</w:t>
      </w:r>
      <w:r>
        <w:t xml:space="preserve">. Shop drawings shall be provided on 1/8” scale drawing with device types clearly identified by use of a legend. </w:t>
      </w:r>
    </w:p>
    <w:p w14:paraId="554C7F2D" w14:textId="77777777" w:rsidR="005109FC" w:rsidRDefault="00082363" w:rsidP="00992E94">
      <w:pPr>
        <w:pStyle w:val="PR3"/>
      </w:pPr>
      <w:r>
        <w:t xml:space="preserve">Shop drawings shall clearly identify the locations and specification of any auxiliary contacts. </w:t>
      </w:r>
    </w:p>
    <w:p w14:paraId="72B7D3D6" w14:textId="77777777" w:rsidR="00082363" w:rsidRDefault="00082363" w:rsidP="00992E94">
      <w:pPr>
        <w:pStyle w:val="PR3"/>
      </w:pPr>
      <w:r>
        <w:t xml:space="preserve">Shop drawings shall include sequence of operations for all occupancy sensors types and installations. </w:t>
      </w:r>
    </w:p>
    <w:p w14:paraId="1146A790" w14:textId="77777777" w:rsidR="00082363" w:rsidRDefault="00082363">
      <w:pPr>
        <w:pStyle w:val="PR2"/>
      </w:pPr>
      <w:r>
        <w:t>Submit shop drawings on 1/8” scale drawings for the following systems:</w:t>
      </w:r>
    </w:p>
    <w:p w14:paraId="5E970BAA" w14:textId="77777777" w:rsidR="00082363" w:rsidRDefault="00082363" w:rsidP="00992E94">
      <w:pPr>
        <w:pStyle w:val="PR3"/>
      </w:pPr>
      <w:r>
        <w:t xml:space="preserve">Surface mounted raceway systems as identified in the drawings. </w:t>
      </w:r>
    </w:p>
    <w:p w14:paraId="63A7561E" w14:textId="77777777" w:rsidR="00082363" w:rsidRDefault="00D62F54" w:rsidP="00992E94">
      <w:pPr>
        <w:pStyle w:val="PR3"/>
      </w:pPr>
      <w:r>
        <w:t xml:space="preserve">Poke-throughs and floor-boxes. </w:t>
      </w:r>
    </w:p>
    <w:p w14:paraId="259FA32D" w14:textId="77777777" w:rsidR="00082363" w:rsidRDefault="00082363" w:rsidP="00992E94">
      <w:pPr>
        <w:pStyle w:val="PR4"/>
      </w:pPr>
      <w:r>
        <w:t>Clearly indicate</w:t>
      </w:r>
      <w:r w:rsidR="0069789E">
        <w:t xml:space="preserve"> model number,</w:t>
      </w:r>
      <w:r>
        <w:t xml:space="preserve"> finish and trim of floor-boxes and poke throughs. </w:t>
      </w:r>
    </w:p>
    <w:p w14:paraId="7843CCDC" w14:textId="77777777" w:rsidR="0069789E" w:rsidRDefault="0069789E" w:rsidP="00992E94">
      <w:pPr>
        <w:pStyle w:val="PR4"/>
      </w:pPr>
      <w:r>
        <w:t>Poke throughs and floor-boxes shall be dimensioned for coordination of rough in.</w:t>
      </w:r>
    </w:p>
    <w:p w14:paraId="5C171A1E" w14:textId="77777777" w:rsidR="00082363" w:rsidRDefault="00082363" w:rsidP="00992E94">
      <w:pPr>
        <w:pStyle w:val="PR3"/>
      </w:pPr>
    </w:p>
    <w:p w14:paraId="7D51D706" w14:textId="77777777" w:rsidR="005D2221" w:rsidRDefault="005D2221">
      <w:pPr>
        <w:pStyle w:val="PRT"/>
      </w:pPr>
      <w:r>
        <w:t>PRODUCTS</w:t>
      </w:r>
    </w:p>
    <w:p w14:paraId="47B2F11F" w14:textId="77777777" w:rsidR="005D2221" w:rsidRPr="00992E94" w:rsidRDefault="005D2221" w:rsidP="00197BBA">
      <w:pPr>
        <w:pStyle w:val="ART"/>
        <w:numPr>
          <w:ilvl w:val="3"/>
          <w:numId w:val="2"/>
        </w:numPr>
        <w:rPr>
          <w:b/>
        </w:rPr>
      </w:pPr>
      <w:r w:rsidRPr="00992E94">
        <w:rPr>
          <w:b/>
        </w:rPr>
        <w:t>GENERAL</w:t>
      </w:r>
    </w:p>
    <w:p w14:paraId="36D91A7D" w14:textId="77777777" w:rsidR="005D2221" w:rsidRDefault="005D2221" w:rsidP="00197BBA">
      <w:pPr>
        <w:pStyle w:val="PR1"/>
      </w:pPr>
      <w:r>
        <w:t>All materials shall meet or exceed all applicable referenced standards, federal, state and local requirements, and conform to codes and ordinances of authorities having jurisdiction.</w:t>
      </w:r>
    </w:p>
    <w:p w14:paraId="41D9FA49" w14:textId="77777777" w:rsidR="00F8111C" w:rsidRDefault="00B30F24" w:rsidP="00197BBA">
      <w:pPr>
        <w:pStyle w:val="PR1"/>
      </w:pPr>
      <w:r>
        <w:t xml:space="preserve">Provide factory fabricated wiring devices in the type and electrical rating for the service indicated. Where type and grade are not indicated provide proper selection to correspond with branch circuit wiring and overcurrent protection. </w:t>
      </w:r>
    </w:p>
    <w:p w14:paraId="6263AA4B" w14:textId="77777777" w:rsidR="00B30F24" w:rsidRDefault="00B30F24" w:rsidP="00197BBA">
      <w:pPr>
        <w:pStyle w:val="PR1"/>
      </w:pPr>
      <w:r>
        <w:t>Attachment of wires to devices shall be by screw pressure under the head of binding screws. Arrangements depending on spring pressure or tension are not acceptable. All binding screws shall be brass or bronze.</w:t>
      </w:r>
    </w:p>
    <w:p w14:paraId="2488EF0B" w14:textId="77777777" w:rsidR="005D2221" w:rsidRPr="00992E94" w:rsidRDefault="006F15BA" w:rsidP="00197BBA">
      <w:pPr>
        <w:pStyle w:val="ART"/>
        <w:numPr>
          <w:ilvl w:val="3"/>
          <w:numId w:val="2"/>
        </w:numPr>
        <w:rPr>
          <w:b/>
        </w:rPr>
      </w:pPr>
      <w:r w:rsidRPr="00992E94">
        <w:rPr>
          <w:b/>
        </w:rPr>
        <w:t>wall switches</w:t>
      </w:r>
    </w:p>
    <w:p w14:paraId="34472CC6" w14:textId="77777777" w:rsidR="006F15BA" w:rsidRDefault="006F15BA" w:rsidP="00197BBA">
      <w:pPr>
        <w:pStyle w:val="PR1"/>
      </w:pPr>
      <w:r>
        <w:t xml:space="preserve">Type: </w:t>
      </w:r>
      <w:r w:rsidR="00AA498D">
        <w:t>Specification grade,</w:t>
      </w:r>
      <w:r>
        <w:t xml:space="preserve"> </w:t>
      </w:r>
      <w:r w:rsidR="00AA498D">
        <w:t>q</w:t>
      </w:r>
      <w:r>
        <w:t xml:space="preserve">uiet type, back and side wired switches as </w:t>
      </w:r>
      <w:r w:rsidR="004B6BCD">
        <w:t>specified herein</w:t>
      </w:r>
      <w:r>
        <w:t>.</w:t>
      </w:r>
      <w:r w:rsidR="00AA498D">
        <w:t xml:space="preserve"> Switch terminal screws shall be designed to accommodate No. 10 AWG solid conductor.</w:t>
      </w:r>
    </w:p>
    <w:p w14:paraId="298D6F1D" w14:textId="77777777" w:rsidR="006F15BA" w:rsidRDefault="006F15BA" w:rsidP="00197BBA">
      <w:pPr>
        <w:pStyle w:val="PR1"/>
      </w:pPr>
      <w:r>
        <w:t>Rating:  20 amperes, 120/277 volts.</w:t>
      </w:r>
    </w:p>
    <w:p w14:paraId="31EC7471" w14:textId="77777777" w:rsidR="006F15BA" w:rsidRDefault="006F15BA" w:rsidP="00197BBA">
      <w:pPr>
        <w:pStyle w:val="PR1"/>
      </w:pPr>
      <w:r>
        <w:t>Listing:  UL 20 and Federal Specification W-S-896.</w:t>
      </w:r>
    </w:p>
    <w:p w14:paraId="573BE2C6" w14:textId="77777777" w:rsidR="0075026A" w:rsidRDefault="0075026A" w:rsidP="00197BBA">
      <w:pPr>
        <w:pStyle w:val="PR1"/>
      </w:pPr>
      <w:r w:rsidRPr="0075026A">
        <w:t>Finished Areas.  Wall switches shall be toggle-style switches.  Select device plates of same color, and match with receptacle, phone and data outlet device plate style. Coordinate with Architect and Owner for room finish.</w:t>
      </w:r>
    </w:p>
    <w:p w14:paraId="2F77A9F6" w14:textId="77777777" w:rsidR="006F15BA" w:rsidRDefault="006F15BA" w:rsidP="00197BBA">
      <w:pPr>
        <w:pStyle w:val="PR1"/>
      </w:pPr>
      <w:r>
        <w:t>Manufacturers:  Prov</w:t>
      </w:r>
      <w:r w:rsidR="004B6BCD">
        <w:t>ide devices in the color as specified herein.</w:t>
      </w:r>
    </w:p>
    <w:tbl>
      <w:tblPr>
        <w:tblW w:w="0" w:type="auto"/>
        <w:jc w:val="center"/>
        <w:tblLook w:val="01E0" w:firstRow="1" w:lastRow="1" w:firstColumn="1" w:lastColumn="1" w:noHBand="0" w:noVBand="0"/>
      </w:tblPr>
      <w:tblGrid>
        <w:gridCol w:w="1308"/>
        <w:gridCol w:w="1800"/>
        <w:gridCol w:w="1926"/>
        <w:gridCol w:w="1914"/>
        <w:gridCol w:w="2040"/>
      </w:tblGrid>
      <w:tr w:rsidR="008106A9" w:rsidRPr="00197BBA" w14:paraId="60B0C77D" w14:textId="77777777" w:rsidTr="00864B93">
        <w:trPr>
          <w:jc w:val="center"/>
        </w:trPr>
        <w:tc>
          <w:tcPr>
            <w:tcW w:w="1308" w:type="dxa"/>
          </w:tcPr>
          <w:p w14:paraId="1CC008A7" w14:textId="77777777" w:rsidR="008106A9" w:rsidRPr="00992E94" w:rsidRDefault="008106A9" w:rsidP="00197BBA">
            <w:r w:rsidRPr="00992E94">
              <w:t>Type</w:t>
            </w:r>
          </w:p>
        </w:tc>
        <w:tc>
          <w:tcPr>
            <w:tcW w:w="1800" w:type="dxa"/>
          </w:tcPr>
          <w:p w14:paraId="0E18B0AF" w14:textId="77777777" w:rsidR="008106A9" w:rsidRPr="00992E94" w:rsidRDefault="008106A9" w:rsidP="00197BBA">
            <w:r w:rsidRPr="00992E94">
              <w:t>Pass &amp; Seymour</w:t>
            </w:r>
          </w:p>
        </w:tc>
        <w:tc>
          <w:tcPr>
            <w:tcW w:w="1926" w:type="dxa"/>
          </w:tcPr>
          <w:p w14:paraId="643EDE06" w14:textId="77777777" w:rsidR="008106A9" w:rsidRPr="00992E94" w:rsidRDefault="008106A9" w:rsidP="00197BBA">
            <w:r w:rsidRPr="00992E94">
              <w:t>Cooper</w:t>
            </w:r>
          </w:p>
        </w:tc>
        <w:tc>
          <w:tcPr>
            <w:tcW w:w="1914" w:type="dxa"/>
          </w:tcPr>
          <w:p w14:paraId="5AD86BB6" w14:textId="77777777" w:rsidR="008106A9" w:rsidRPr="00992E94" w:rsidRDefault="008106A9" w:rsidP="00197BBA">
            <w:r w:rsidRPr="00992E94">
              <w:t>Leviton</w:t>
            </w:r>
          </w:p>
        </w:tc>
        <w:tc>
          <w:tcPr>
            <w:tcW w:w="2040" w:type="dxa"/>
          </w:tcPr>
          <w:p w14:paraId="3BA915A9" w14:textId="77777777" w:rsidR="008106A9" w:rsidRPr="00992E94" w:rsidRDefault="008106A9" w:rsidP="00197BBA">
            <w:r w:rsidRPr="00992E94">
              <w:t>Hubbell</w:t>
            </w:r>
          </w:p>
        </w:tc>
      </w:tr>
      <w:tr w:rsidR="008106A9" w:rsidRPr="00197BBA" w14:paraId="77DA6E25" w14:textId="77777777" w:rsidTr="00864B93">
        <w:trPr>
          <w:jc w:val="center"/>
        </w:trPr>
        <w:tc>
          <w:tcPr>
            <w:tcW w:w="1308" w:type="dxa"/>
          </w:tcPr>
          <w:p w14:paraId="78E1F11B" w14:textId="77777777" w:rsidR="008106A9" w:rsidRPr="00992E94" w:rsidRDefault="008106A9" w:rsidP="00197BBA">
            <w:r w:rsidRPr="00992E94">
              <w:t>S</w:t>
            </w:r>
          </w:p>
        </w:tc>
        <w:tc>
          <w:tcPr>
            <w:tcW w:w="1800" w:type="dxa"/>
          </w:tcPr>
          <w:p w14:paraId="0EEB8BD4" w14:textId="77777777" w:rsidR="008106A9" w:rsidRPr="00992E94" w:rsidRDefault="00332D6E" w:rsidP="00197BBA">
            <w:r w:rsidRPr="00992E94">
              <w:t>PS</w:t>
            </w:r>
            <w:r w:rsidR="008106A9" w:rsidRPr="00992E94">
              <w:t>20AC1</w:t>
            </w:r>
          </w:p>
        </w:tc>
        <w:tc>
          <w:tcPr>
            <w:tcW w:w="1926" w:type="dxa"/>
          </w:tcPr>
          <w:p w14:paraId="7D5FF098" w14:textId="77777777" w:rsidR="008106A9" w:rsidRPr="00992E94" w:rsidRDefault="008106A9" w:rsidP="00197BBA">
            <w:r w:rsidRPr="00992E94">
              <w:t>AH1221</w:t>
            </w:r>
          </w:p>
        </w:tc>
        <w:tc>
          <w:tcPr>
            <w:tcW w:w="1914" w:type="dxa"/>
          </w:tcPr>
          <w:p w14:paraId="649DFA57" w14:textId="77777777" w:rsidR="008106A9" w:rsidRPr="00992E94" w:rsidRDefault="008106A9" w:rsidP="00197BBA">
            <w:r w:rsidRPr="00992E94">
              <w:t>1221-2</w:t>
            </w:r>
          </w:p>
        </w:tc>
        <w:tc>
          <w:tcPr>
            <w:tcW w:w="2040" w:type="dxa"/>
          </w:tcPr>
          <w:p w14:paraId="1B99D704" w14:textId="77777777" w:rsidR="008517D4" w:rsidRPr="00992E94" w:rsidRDefault="008517D4" w:rsidP="00197BBA">
            <w:r w:rsidRPr="00992E94">
              <w:t>HBL1221</w:t>
            </w:r>
          </w:p>
        </w:tc>
      </w:tr>
      <w:tr w:rsidR="008106A9" w:rsidRPr="00197BBA" w14:paraId="6999B2AD" w14:textId="77777777" w:rsidTr="00864B93">
        <w:trPr>
          <w:jc w:val="center"/>
        </w:trPr>
        <w:tc>
          <w:tcPr>
            <w:tcW w:w="1308" w:type="dxa"/>
          </w:tcPr>
          <w:p w14:paraId="11C07C67" w14:textId="77777777" w:rsidR="008106A9" w:rsidRPr="00992E94" w:rsidRDefault="008106A9" w:rsidP="00197BBA">
            <w:r w:rsidRPr="00992E94">
              <w:t>S2</w:t>
            </w:r>
          </w:p>
        </w:tc>
        <w:tc>
          <w:tcPr>
            <w:tcW w:w="1800" w:type="dxa"/>
          </w:tcPr>
          <w:p w14:paraId="207131BE" w14:textId="77777777" w:rsidR="008106A9" w:rsidRPr="00992E94" w:rsidRDefault="00332D6E" w:rsidP="00197BBA">
            <w:r w:rsidRPr="00992E94">
              <w:t>PS</w:t>
            </w:r>
            <w:r w:rsidR="008106A9" w:rsidRPr="00992E94">
              <w:t>20AC2</w:t>
            </w:r>
          </w:p>
        </w:tc>
        <w:tc>
          <w:tcPr>
            <w:tcW w:w="1926" w:type="dxa"/>
          </w:tcPr>
          <w:p w14:paraId="318E13F3" w14:textId="77777777" w:rsidR="008106A9" w:rsidRPr="00992E94" w:rsidRDefault="008106A9" w:rsidP="00197BBA">
            <w:r w:rsidRPr="00992E94">
              <w:t>AH1222</w:t>
            </w:r>
          </w:p>
        </w:tc>
        <w:tc>
          <w:tcPr>
            <w:tcW w:w="1914" w:type="dxa"/>
          </w:tcPr>
          <w:p w14:paraId="32A02785" w14:textId="77777777" w:rsidR="008106A9" w:rsidRPr="00992E94" w:rsidRDefault="008106A9" w:rsidP="00197BBA">
            <w:r w:rsidRPr="00992E94">
              <w:t>1222-2</w:t>
            </w:r>
          </w:p>
        </w:tc>
        <w:tc>
          <w:tcPr>
            <w:tcW w:w="2040" w:type="dxa"/>
          </w:tcPr>
          <w:p w14:paraId="4518F5C7" w14:textId="77777777" w:rsidR="008106A9" w:rsidRPr="00992E94" w:rsidRDefault="008517D4" w:rsidP="00197BBA">
            <w:r w:rsidRPr="00992E94">
              <w:t>HBL1222</w:t>
            </w:r>
          </w:p>
        </w:tc>
      </w:tr>
      <w:tr w:rsidR="008106A9" w:rsidRPr="00197BBA" w14:paraId="53B6EFED" w14:textId="77777777" w:rsidTr="00864B93">
        <w:trPr>
          <w:jc w:val="center"/>
        </w:trPr>
        <w:tc>
          <w:tcPr>
            <w:tcW w:w="1308" w:type="dxa"/>
          </w:tcPr>
          <w:p w14:paraId="48687974" w14:textId="77777777" w:rsidR="008106A9" w:rsidRPr="00992E94" w:rsidRDefault="008106A9" w:rsidP="00197BBA">
            <w:r w:rsidRPr="00992E94">
              <w:t>S3</w:t>
            </w:r>
          </w:p>
        </w:tc>
        <w:tc>
          <w:tcPr>
            <w:tcW w:w="1800" w:type="dxa"/>
          </w:tcPr>
          <w:p w14:paraId="6B08327A" w14:textId="77777777" w:rsidR="008106A9" w:rsidRPr="00992E94" w:rsidRDefault="00332D6E" w:rsidP="00197BBA">
            <w:r w:rsidRPr="00992E94">
              <w:t>PS</w:t>
            </w:r>
            <w:r w:rsidR="008106A9" w:rsidRPr="00992E94">
              <w:t>20AC3</w:t>
            </w:r>
          </w:p>
        </w:tc>
        <w:tc>
          <w:tcPr>
            <w:tcW w:w="1926" w:type="dxa"/>
          </w:tcPr>
          <w:p w14:paraId="34855C45" w14:textId="77777777" w:rsidR="008106A9" w:rsidRPr="00992E94" w:rsidRDefault="008106A9" w:rsidP="00197BBA">
            <w:r w:rsidRPr="00992E94">
              <w:t>AH1223</w:t>
            </w:r>
          </w:p>
        </w:tc>
        <w:tc>
          <w:tcPr>
            <w:tcW w:w="1914" w:type="dxa"/>
          </w:tcPr>
          <w:p w14:paraId="7B3196E8" w14:textId="77777777" w:rsidR="008106A9" w:rsidRPr="00992E94" w:rsidRDefault="008106A9" w:rsidP="00197BBA">
            <w:r w:rsidRPr="00992E94">
              <w:t>1223-2</w:t>
            </w:r>
          </w:p>
        </w:tc>
        <w:tc>
          <w:tcPr>
            <w:tcW w:w="2040" w:type="dxa"/>
          </w:tcPr>
          <w:p w14:paraId="38774C4D" w14:textId="77777777" w:rsidR="008106A9" w:rsidRPr="00992E94" w:rsidRDefault="008517D4" w:rsidP="00197BBA">
            <w:r w:rsidRPr="00992E94">
              <w:t>HBL1223</w:t>
            </w:r>
          </w:p>
        </w:tc>
      </w:tr>
      <w:tr w:rsidR="008106A9" w:rsidRPr="00197BBA" w14:paraId="426BE2F7" w14:textId="77777777" w:rsidTr="00864B93">
        <w:trPr>
          <w:jc w:val="center"/>
        </w:trPr>
        <w:tc>
          <w:tcPr>
            <w:tcW w:w="1308" w:type="dxa"/>
          </w:tcPr>
          <w:p w14:paraId="2C1F3BA7" w14:textId="77777777" w:rsidR="008106A9" w:rsidRPr="00992E94" w:rsidRDefault="008106A9" w:rsidP="00197BBA">
            <w:r w:rsidRPr="00992E94">
              <w:t>S4</w:t>
            </w:r>
          </w:p>
        </w:tc>
        <w:tc>
          <w:tcPr>
            <w:tcW w:w="1800" w:type="dxa"/>
          </w:tcPr>
          <w:p w14:paraId="4540465E" w14:textId="77777777" w:rsidR="008106A9" w:rsidRPr="00992E94" w:rsidRDefault="00332D6E" w:rsidP="00197BBA">
            <w:r w:rsidRPr="00992E94">
              <w:t>PS</w:t>
            </w:r>
            <w:r w:rsidR="008106A9" w:rsidRPr="00992E94">
              <w:t>20AC4</w:t>
            </w:r>
          </w:p>
        </w:tc>
        <w:tc>
          <w:tcPr>
            <w:tcW w:w="1926" w:type="dxa"/>
          </w:tcPr>
          <w:p w14:paraId="4DD84FAD" w14:textId="77777777" w:rsidR="008106A9" w:rsidRPr="00992E94" w:rsidRDefault="008106A9" w:rsidP="00197BBA">
            <w:r w:rsidRPr="00992E94">
              <w:t>AH1224</w:t>
            </w:r>
          </w:p>
        </w:tc>
        <w:tc>
          <w:tcPr>
            <w:tcW w:w="1914" w:type="dxa"/>
          </w:tcPr>
          <w:p w14:paraId="7E757D48" w14:textId="77777777" w:rsidR="008106A9" w:rsidRPr="00992E94" w:rsidRDefault="008106A9" w:rsidP="00197BBA">
            <w:r w:rsidRPr="00992E94">
              <w:t>1224-2</w:t>
            </w:r>
          </w:p>
        </w:tc>
        <w:tc>
          <w:tcPr>
            <w:tcW w:w="2040" w:type="dxa"/>
          </w:tcPr>
          <w:p w14:paraId="7C542066" w14:textId="77777777" w:rsidR="008106A9" w:rsidRPr="00992E94" w:rsidRDefault="008517D4" w:rsidP="00197BBA">
            <w:r w:rsidRPr="00992E94">
              <w:t>HBL1224</w:t>
            </w:r>
          </w:p>
        </w:tc>
      </w:tr>
    </w:tbl>
    <w:p w14:paraId="3FEEE596" w14:textId="77777777" w:rsidR="006F15BA" w:rsidRDefault="006F15BA" w:rsidP="00197BBA">
      <w:pPr>
        <w:pStyle w:val="PR2"/>
      </w:pPr>
      <w:r w:rsidRPr="00197BBA">
        <w:t>Provide color designation for designated use.</w:t>
      </w:r>
    </w:p>
    <w:p w14:paraId="4AEA8CC0" w14:textId="77777777" w:rsidR="0075026A" w:rsidRDefault="0075026A" w:rsidP="0075026A">
      <w:pPr>
        <w:pStyle w:val="PR2"/>
      </w:pPr>
      <w:r>
        <w:lastRenderedPageBreak/>
        <w:t>Pilot light type shall be equipped with red toggle handle (glow when on), 20 amperes and 120/277 volt AC with number of poles as required.</w:t>
      </w:r>
    </w:p>
    <w:p w14:paraId="232672C0" w14:textId="77777777" w:rsidR="0075026A" w:rsidRDefault="0075026A" w:rsidP="0075026A">
      <w:pPr>
        <w:pStyle w:val="PR2"/>
      </w:pPr>
      <w:r>
        <w:t>Key operated switches shall be 20 amperes and 120/277 volt AC with number of poles as required.  Key locks alike.  Furnish keys compatible with key switch, quantity as directed by Owner, minimum of ten copies.</w:t>
      </w:r>
    </w:p>
    <w:p w14:paraId="150CF0CA" w14:textId="77777777" w:rsidR="0075026A" w:rsidRDefault="0075026A" w:rsidP="0075026A">
      <w:pPr>
        <w:pStyle w:val="PR2"/>
      </w:pPr>
      <w:r>
        <w:t>Switches for lighting circuits and motor loads under 1/3 hp shall be AC general use snap switch with toggle handle, 20 amperes and 120/277 volt AC with number of poles as required.</w:t>
      </w:r>
    </w:p>
    <w:p w14:paraId="2C7E4256" w14:textId="77777777" w:rsidR="0075026A" w:rsidRDefault="0075026A" w:rsidP="0075026A">
      <w:pPr>
        <w:pStyle w:val="PR2"/>
      </w:pPr>
      <w:r>
        <w:t xml:space="preserve"> A listed manual switch having a horsepower rating not less than the rating of the motor, a thermal overload element suitable for the motor served, and marked "Suitable as Motor Disconnect", shall be permitted to serve as the disconnect means for stationary motors of 1/4 horsepower or less.</w:t>
      </w:r>
    </w:p>
    <w:p w14:paraId="02C3A5A1" w14:textId="77777777" w:rsidR="0075026A" w:rsidRDefault="0075026A" w:rsidP="0075026A">
      <w:pPr>
        <w:pStyle w:val="PR2"/>
      </w:pPr>
      <w:r>
        <w:t>Use horsepower rated switches, with thermal overload element, approved for motor control or disconnect service when controlling or disconnecting motor loads in excess of 1/4 hp. Horsepower rated switches shall be 30 ampere minimum, with number of poles as required.</w:t>
      </w:r>
    </w:p>
    <w:p w14:paraId="26B5B06F" w14:textId="77777777" w:rsidR="0075026A" w:rsidRDefault="0075026A" w:rsidP="0075026A">
      <w:pPr>
        <w:pStyle w:val="PR2"/>
      </w:pPr>
      <w:r>
        <w:t>EPO. Illuminated Emergency-Power-Off (EPO) switch shall be provided with button guard equal to Allen-Bradley #800T-QA10R or accepted substitution.</w:t>
      </w:r>
    </w:p>
    <w:p w14:paraId="233E6CD8" w14:textId="77777777" w:rsidR="0075026A" w:rsidRPr="00197BBA" w:rsidRDefault="0075026A" w:rsidP="00197BBA">
      <w:pPr>
        <w:pStyle w:val="PR2"/>
      </w:pPr>
      <w:r>
        <w:t>Switch terminal screws or connectors shall be designed to accommodate up to No. 10 AWG solid conductor.</w:t>
      </w:r>
    </w:p>
    <w:p w14:paraId="2CE24EC5" w14:textId="77777777" w:rsidR="005D2221" w:rsidRPr="00992E94" w:rsidRDefault="006F15BA" w:rsidP="00197BBA">
      <w:pPr>
        <w:pStyle w:val="ART"/>
        <w:numPr>
          <w:ilvl w:val="3"/>
          <w:numId w:val="2"/>
        </w:numPr>
        <w:rPr>
          <w:b/>
        </w:rPr>
      </w:pPr>
      <w:r w:rsidRPr="00992E94">
        <w:rPr>
          <w:b/>
        </w:rPr>
        <w:t>Receptacles</w:t>
      </w:r>
    </w:p>
    <w:p w14:paraId="00F4AD2B" w14:textId="77777777" w:rsidR="005109FC" w:rsidRDefault="00CC1E4D" w:rsidP="00992E94">
      <w:pPr>
        <w:pStyle w:val="PR1"/>
        <w:numPr>
          <w:ilvl w:val="0"/>
          <w:numId w:val="0"/>
        </w:numPr>
        <w:ind w:left="288"/>
      </w:pPr>
      <w:r>
        <w:t>[**</w:t>
      </w:r>
      <w:r w:rsidR="005109FC">
        <w:t>SPEC WRITER NOTE-COORDINATE SELECTION OF GRADE OF DEVICE BASED ON BUILDING AND PROGRAMMING TYPE</w:t>
      </w:r>
      <w:r>
        <w:t>**]</w:t>
      </w:r>
    </w:p>
    <w:p w14:paraId="45A3F6AE" w14:textId="77777777" w:rsidR="006F15BA" w:rsidRDefault="005109FC" w:rsidP="00197BBA">
      <w:pPr>
        <w:pStyle w:val="PR1"/>
      </w:pPr>
      <w:r>
        <w:t>[</w:t>
      </w:r>
      <w:r w:rsidR="006F15BA">
        <w:t>Type:  Hospital Grade</w:t>
      </w:r>
      <w:r w:rsidR="008517D4">
        <w:t xml:space="preserve"> type shall be installed in clinic, patient care, and other areas required by NFPA</w:t>
      </w:r>
      <w:r w:rsidR="006F15BA">
        <w:t>,</w:t>
      </w:r>
      <w:r w:rsidR="008517D4">
        <w:t xml:space="preserve"> or</w:t>
      </w:r>
      <w:r w:rsidR="006F15BA">
        <w:t xml:space="preserve"> where identified on </w:t>
      </w:r>
      <w:r w:rsidR="00DD14AE">
        <w:t>Drawings</w:t>
      </w:r>
      <w:r w:rsidR="006F15BA">
        <w:t xml:space="preserve">. </w:t>
      </w:r>
      <w:r w:rsidR="00F5555E">
        <w:t xml:space="preserve"> </w:t>
      </w:r>
      <w:r w:rsidR="006F15BA">
        <w:t xml:space="preserve">Back and side wired receptacles, as </w:t>
      </w:r>
      <w:r w:rsidR="00DD14AE">
        <w:t>specified herein</w:t>
      </w:r>
      <w:r w:rsidR="006F15BA">
        <w:t>.</w:t>
      </w:r>
      <w:r>
        <w:t>]</w:t>
      </w:r>
    </w:p>
    <w:p w14:paraId="3E3B438F" w14:textId="77777777" w:rsidR="005109FC" w:rsidRDefault="005109FC" w:rsidP="00197BBA">
      <w:pPr>
        <w:pStyle w:val="PR1"/>
      </w:pPr>
      <w:r>
        <w:t>[Type: Hospital Grade] [Industrial Grade] [Commercial Grade] devices shall be provided throughout unless otherwise identified on the drawings.]</w:t>
      </w:r>
    </w:p>
    <w:p w14:paraId="029B9BCC" w14:textId="77777777" w:rsidR="006F15BA" w:rsidRDefault="006F15BA" w:rsidP="00197BBA">
      <w:pPr>
        <w:pStyle w:val="PR1"/>
      </w:pPr>
      <w:r>
        <w:t xml:space="preserve">Rating:  Scheduled on </w:t>
      </w:r>
      <w:r w:rsidR="007D4698">
        <w:t>Drawings</w:t>
      </w:r>
      <w:r>
        <w:t>.</w:t>
      </w:r>
    </w:p>
    <w:p w14:paraId="26B4823B" w14:textId="77777777" w:rsidR="006F15BA" w:rsidRDefault="006F15BA" w:rsidP="00197BBA">
      <w:pPr>
        <w:pStyle w:val="PR1"/>
      </w:pPr>
      <w:r>
        <w:t>Listing:  UL 498 and Federal Specification W-C-596.</w:t>
      </w:r>
    </w:p>
    <w:p w14:paraId="75F4CFD9" w14:textId="77777777" w:rsidR="006F15BA" w:rsidRDefault="006F15BA" w:rsidP="00197BBA">
      <w:pPr>
        <w:pStyle w:val="PR1"/>
      </w:pPr>
      <w:r>
        <w:t xml:space="preserve">Provide devices in the color </w:t>
      </w:r>
      <w:r w:rsidR="00F5555E">
        <w:t>as specified herein</w:t>
      </w:r>
      <w:r>
        <w:t>.</w:t>
      </w:r>
    </w:p>
    <w:tbl>
      <w:tblPr>
        <w:tblW w:w="0" w:type="auto"/>
        <w:jc w:val="center"/>
        <w:tblLook w:val="01E0" w:firstRow="1" w:lastRow="1" w:firstColumn="1" w:lastColumn="1" w:noHBand="0" w:noVBand="0"/>
      </w:tblPr>
      <w:tblGrid>
        <w:gridCol w:w="2501"/>
        <w:gridCol w:w="1729"/>
        <w:gridCol w:w="1891"/>
        <w:gridCol w:w="1647"/>
        <w:gridCol w:w="1592"/>
      </w:tblGrid>
      <w:tr w:rsidR="008517D4" w14:paraId="14DD3D33" w14:textId="77777777" w:rsidTr="00864B93">
        <w:trPr>
          <w:jc w:val="center"/>
        </w:trPr>
        <w:tc>
          <w:tcPr>
            <w:tcW w:w="2567" w:type="dxa"/>
          </w:tcPr>
          <w:p w14:paraId="4BD6B470" w14:textId="77777777" w:rsidR="008517D4" w:rsidRPr="00197BBA" w:rsidRDefault="008517D4" w:rsidP="00197BBA">
            <w:r w:rsidRPr="00197BBA">
              <w:t>NEMA Configuration</w:t>
            </w:r>
          </w:p>
        </w:tc>
        <w:tc>
          <w:tcPr>
            <w:tcW w:w="1771" w:type="dxa"/>
          </w:tcPr>
          <w:p w14:paraId="06D5093A" w14:textId="77777777" w:rsidR="008517D4" w:rsidRPr="00197BBA" w:rsidRDefault="008517D4" w:rsidP="00197BBA">
            <w:r w:rsidRPr="00197BBA">
              <w:t>Pass &amp; Seymour</w:t>
            </w:r>
          </w:p>
        </w:tc>
        <w:tc>
          <w:tcPr>
            <w:tcW w:w="1938" w:type="dxa"/>
          </w:tcPr>
          <w:p w14:paraId="35CFB60F" w14:textId="77777777" w:rsidR="008517D4" w:rsidRPr="00197BBA" w:rsidRDefault="008517D4" w:rsidP="00197BBA">
            <w:r>
              <w:t>Cooper</w:t>
            </w:r>
          </w:p>
        </w:tc>
        <w:tc>
          <w:tcPr>
            <w:tcW w:w="1693" w:type="dxa"/>
          </w:tcPr>
          <w:p w14:paraId="7C883BEE" w14:textId="77777777" w:rsidR="008517D4" w:rsidRPr="00197BBA" w:rsidRDefault="008517D4" w:rsidP="00197BBA">
            <w:r w:rsidRPr="00197BBA">
              <w:t>Leviton</w:t>
            </w:r>
          </w:p>
        </w:tc>
        <w:tc>
          <w:tcPr>
            <w:tcW w:w="1607" w:type="dxa"/>
          </w:tcPr>
          <w:p w14:paraId="11701B8A" w14:textId="77777777" w:rsidR="008517D4" w:rsidRPr="00197BBA" w:rsidRDefault="008517D4" w:rsidP="00197BBA">
            <w:r>
              <w:t>Hubbell</w:t>
            </w:r>
          </w:p>
        </w:tc>
      </w:tr>
      <w:tr w:rsidR="008517D4" w14:paraId="4395A16E" w14:textId="77777777" w:rsidTr="00864B93">
        <w:trPr>
          <w:jc w:val="center"/>
        </w:trPr>
        <w:tc>
          <w:tcPr>
            <w:tcW w:w="2567" w:type="dxa"/>
          </w:tcPr>
          <w:p w14:paraId="06818C9F" w14:textId="77777777" w:rsidR="008517D4" w:rsidRPr="00992E94" w:rsidRDefault="008517D4" w:rsidP="00197BBA">
            <w:r w:rsidRPr="00992E94">
              <w:t>5-20R (Duplex)</w:t>
            </w:r>
          </w:p>
        </w:tc>
        <w:tc>
          <w:tcPr>
            <w:tcW w:w="1771" w:type="dxa"/>
          </w:tcPr>
          <w:p w14:paraId="32FC60FE" w14:textId="77777777" w:rsidR="008517D4" w:rsidRPr="00992E94" w:rsidRDefault="008517D4" w:rsidP="000C4793">
            <w:r w:rsidRPr="00992E94">
              <w:t>8300</w:t>
            </w:r>
          </w:p>
        </w:tc>
        <w:tc>
          <w:tcPr>
            <w:tcW w:w="1938" w:type="dxa"/>
          </w:tcPr>
          <w:p w14:paraId="1721B0B7" w14:textId="77777777" w:rsidR="008517D4" w:rsidRPr="00992E94" w:rsidRDefault="008517D4" w:rsidP="00197BBA">
            <w:r w:rsidRPr="00992E94">
              <w:t>8300</w:t>
            </w:r>
          </w:p>
        </w:tc>
        <w:tc>
          <w:tcPr>
            <w:tcW w:w="1693" w:type="dxa"/>
          </w:tcPr>
          <w:p w14:paraId="0285180D" w14:textId="77777777" w:rsidR="008517D4" w:rsidRPr="00992E94" w:rsidRDefault="008517D4" w:rsidP="00197BBA">
            <w:r w:rsidRPr="00992E94">
              <w:t>8300</w:t>
            </w:r>
          </w:p>
        </w:tc>
        <w:tc>
          <w:tcPr>
            <w:tcW w:w="1607" w:type="dxa"/>
          </w:tcPr>
          <w:p w14:paraId="46F86DB5" w14:textId="77777777" w:rsidR="008517D4" w:rsidRPr="00992E94" w:rsidRDefault="008517D4" w:rsidP="00197BBA">
            <w:r w:rsidRPr="00992E94">
              <w:t>HBL8300</w:t>
            </w:r>
          </w:p>
        </w:tc>
      </w:tr>
      <w:tr w:rsidR="008517D4" w14:paraId="08771DD8" w14:textId="77777777" w:rsidTr="00864B93">
        <w:trPr>
          <w:jc w:val="center"/>
        </w:trPr>
        <w:tc>
          <w:tcPr>
            <w:tcW w:w="2567" w:type="dxa"/>
          </w:tcPr>
          <w:p w14:paraId="5E5EE049" w14:textId="77777777" w:rsidR="008517D4" w:rsidRPr="00992E94" w:rsidRDefault="008517D4" w:rsidP="00197BBA">
            <w:r w:rsidRPr="00992E94">
              <w:t>5-20R (Single)</w:t>
            </w:r>
          </w:p>
        </w:tc>
        <w:tc>
          <w:tcPr>
            <w:tcW w:w="1771" w:type="dxa"/>
          </w:tcPr>
          <w:p w14:paraId="78CF3CDD" w14:textId="77777777" w:rsidR="008517D4" w:rsidRPr="00992E94" w:rsidRDefault="00697EF3" w:rsidP="00197BBA">
            <w:r w:rsidRPr="00992E94">
              <w:t>8</w:t>
            </w:r>
            <w:r w:rsidR="008517D4" w:rsidRPr="00992E94">
              <w:t>301</w:t>
            </w:r>
          </w:p>
        </w:tc>
        <w:tc>
          <w:tcPr>
            <w:tcW w:w="1938" w:type="dxa"/>
          </w:tcPr>
          <w:p w14:paraId="415EDD27" w14:textId="77777777" w:rsidR="008517D4" w:rsidRPr="00992E94" w:rsidRDefault="008517D4" w:rsidP="00197BBA">
            <w:r w:rsidRPr="00992E94">
              <w:t>8310</w:t>
            </w:r>
          </w:p>
        </w:tc>
        <w:tc>
          <w:tcPr>
            <w:tcW w:w="1693" w:type="dxa"/>
          </w:tcPr>
          <w:p w14:paraId="6F56E62D" w14:textId="77777777" w:rsidR="008517D4" w:rsidRPr="00992E94" w:rsidRDefault="008517D4" w:rsidP="00197BBA">
            <w:r w:rsidRPr="00992E94">
              <w:t>8310</w:t>
            </w:r>
          </w:p>
        </w:tc>
        <w:tc>
          <w:tcPr>
            <w:tcW w:w="1607" w:type="dxa"/>
          </w:tcPr>
          <w:p w14:paraId="73C93159" w14:textId="77777777" w:rsidR="008517D4" w:rsidRPr="00992E94" w:rsidRDefault="0088438A" w:rsidP="00197BBA">
            <w:r w:rsidRPr="00992E94">
              <w:t>HBL8310</w:t>
            </w:r>
          </w:p>
        </w:tc>
      </w:tr>
      <w:tr w:rsidR="008517D4" w14:paraId="2CBF07CB" w14:textId="77777777" w:rsidTr="00864B93">
        <w:trPr>
          <w:jc w:val="center"/>
        </w:trPr>
        <w:tc>
          <w:tcPr>
            <w:tcW w:w="2567" w:type="dxa"/>
          </w:tcPr>
          <w:p w14:paraId="5CC09A58" w14:textId="77777777" w:rsidR="008517D4" w:rsidRPr="00992E94" w:rsidRDefault="008517D4" w:rsidP="00197BBA">
            <w:r w:rsidRPr="00992E94">
              <w:t>5-20R (Tamper Resistant)</w:t>
            </w:r>
          </w:p>
        </w:tc>
        <w:tc>
          <w:tcPr>
            <w:tcW w:w="1771" w:type="dxa"/>
          </w:tcPr>
          <w:p w14:paraId="63EE089E" w14:textId="77777777" w:rsidR="008517D4" w:rsidRPr="00992E94" w:rsidRDefault="000C4793" w:rsidP="000C4793">
            <w:r w:rsidRPr="00992E94">
              <w:t>TR6</w:t>
            </w:r>
            <w:r w:rsidR="008517D4" w:rsidRPr="00992E94">
              <w:t>3-H</w:t>
            </w:r>
          </w:p>
        </w:tc>
        <w:tc>
          <w:tcPr>
            <w:tcW w:w="1938" w:type="dxa"/>
          </w:tcPr>
          <w:p w14:paraId="3DCD8FC2" w14:textId="77777777" w:rsidR="008517D4" w:rsidRPr="00992E94" w:rsidRDefault="008517D4" w:rsidP="00197BBA">
            <w:r w:rsidRPr="00992E94">
              <w:t>TR-83</w:t>
            </w:r>
            <w:r w:rsidR="0088438A" w:rsidRPr="00992E94">
              <w:t>00</w:t>
            </w:r>
          </w:p>
        </w:tc>
        <w:tc>
          <w:tcPr>
            <w:tcW w:w="1693" w:type="dxa"/>
          </w:tcPr>
          <w:p w14:paraId="1210D0B5" w14:textId="77777777" w:rsidR="008517D4" w:rsidRPr="00992E94" w:rsidRDefault="0088438A" w:rsidP="00AF58BB">
            <w:r w:rsidRPr="00992E94">
              <w:t>8300-SG</w:t>
            </w:r>
          </w:p>
        </w:tc>
        <w:tc>
          <w:tcPr>
            <w:tcW w:w="1607" w:type="dxa"/>
          </w:tcPr>
          <w:p w14:paraId="2A237151" w14:textId="77777777" w:rsidR="008517D4" w:rsidRPr="00992E94" w:rsidRDefault="0088438A" w:rsidP="00197BBA">
            <w:r w:rsidRPr="00992E94">
              <w:t>HBL8300</w:t>
            </w:r>
            <w:r w:rsidR="00332D6E" w:rsidRPr="00992E94">
              <w:t>SG</w:t>
            </w:r>
          </w:p>
        </w:tc>
      </w:tr>
      <w:tr w:rsidR="008517D4" w14:paraId="6A7983DD" w14:textId="77777777" w:rsidTr="00864B93">
        <w:trPr>
          <w:jc w:val="center"/>
        </w:trPr>
        <w:tc>
          <w:tcPr>
            <w:tcW w:w="2567" w:type="dxa"/>
          </w:tcPr>
          <w:p w14:paraId="379AC8A5" w14:textId="77777777" w:rsidR="008517D4" w:rsidRPr="00992E94" w:rsidRDefault="008517D4" w:rsidP="00197BBA">
            <w:r w:rsidRPr="00992E94">
              <w:t>GFCI</w:t>
            </w:r>
          </w:p>
        </w:tc>
        <w:tc>
          <w:tcPr>
            <w:tcW w:w="1771" w:type="dxa"/>
          </w:tcPr>
          <w:p w14:paraId="481029DF" w14:textId="77777777" w:rsidR="008517D4" w:rsidRPr="00992E94" w:rsidRDefault="008517D4" w:rsidP="00AF58BB">
            <w:r w:rsidRPr="00992E94">
              <w:t>209</w:t>
            </w:r>
            <w:r w:rsidR="00AF58BB" w:rsidRPr="00992E94">
              <w:t>5</w:t>
            </w:r>
            <w:r w:rsidRPr="00992E94">
              <w:t>-HG</w:t>
            </w:r>
          </w:p>
        </w:tc>
        <w:tc>
          <w:tcPr>
            <w:tcW w:w="1938" w:type="dxa"/>
          </w:tcPr>
          <w:p w14:paraId="2F23383D" w14:textId="77777777" w:rsidR="008517D4" w:rsidRPr="00992E94" w:rsidRDefault="00AF58BB" w:rsidP="00AF58BB">
            <w:r w:rsidRPr="00992E94">
              <w:t>V</w:t>
            </w:r>
            <w:r w:rsidR="008517D4" w:rsidRPr="00992E94">
              <w:t>GF</w:t>
            </w:r>
            <w:r w:rsidRPr="00992E94">
              <w:t>H20_</w:t>
            </w:r>
          </w:p>
        </w:tc>
        <w:tc>
          <w:tcPr>
            <w:tcW w:w="1693" w:type="dxa"/>
          </w:tcPr>
          <w:p w14:paraId="75314909" w14:textId="77777777" w:rsidR="008517D4" w:rsidRPr="00992E94" w:rsidRDefault="0088438A" w:rsidP="00197BBA">
            <w:r w:rsidRPr="00992E94">
              <w:t>N7899</w:t>
            </w:r>
            <w:r w:rsidR="008517D4" w:rsidRPr="00992E94">
              <w:t>-H</w:t>
            </w:r>
            <w:r w:rsidR="00DE7F2D" w:rsidRPr="00992E94">
              <w:t>F</w:t>
            </w:r>
          </w:p>
        </w:tc>
        <w:tc>
          <w:tcPr>
            <w:tcW w:w="1607" w:type="dxa"/>
          </w:tcPr>
          <w:p w14:paraId="7ECBC60B" w14:textId="77777777" w:rsidR="008517D4" w:rsidRPr="00992E94" w:rsidRDefault="0088438A" w:rsidP="00197BBA">
            <w:r w:rsidRPr="00992E94">
              <w:t>GFR8300H</w:t>
            </w:r>
          </w:p>
        </w:tc>
      </w:tr>
    </w:tbl>
    <w:p w14:paraId="52C49677" w14:textId="77777777" w:rsidR="006F15BA" w:rsidRPr="00197BBA" w:rsidRDefault="006F15BA" w:rsidP="00197BBA">
      <w:pPr>
        <w:pStyle w:val="PR2"/>
      </w:pPr>
      <w:r w:rsidRPr="00197BBA">
        <w:t>Provide color designation for designated use.</w:t>
      </w:r>
    </w:p>
    <w:p w14:paraId="5ACD439F" w14:textId="77777777" w:rsidR="00740427" w:rsidRDefault="00740427" w:rsidP="00197BBA">
      <w:pPr>
        <w:pStyle w:val="PR1"/>
      </w:pPr>
      <w:r>
        <w:t>Provide corrosion resistant devices where installed in wet locations and damp locations and other areas as required per NEC.</w:t>
      </w:r>
    </w:p>
    <w:p w14:paraId="0FA81649" w14:textId="77777777" w:rsidR="0075026A" w:rsidRDefault="0075026A" w:rsidP="0075026A">
      <w:pPr>
        <w:pStyle w:val="PR1"/>
      </w:pPr>
      <w:r>
        <w:t>Heavy Duty Locking-Blade Receptacles.  NEMA WD 5.  Locking-blade receptacles shall be heavy duty specification grade.</w:t>
      </w:r>
    </w:p>
    <w:p w14:paraId="3E6BBB19" w14:textId="77777777" w:rsidR="0075026A" w:rsidRDefault="0075026A" w:rsidP="0075026A">
      <w:pPr>
        <w:pStyle w:val="PR1"/>
      </w:pPr>
      <w:r>
        <w:t>Ground Fault Circuit Interrupter (GFCI). GFCI receptacles shall be rated 20 amperes, 125 volt with integral ground fault current interrupter.</w:t>
      </w:r>
    </w:p>
    <w:p w14:paraId="45F579FC" w14:textId="77777777" w:rsidR="0075026A" w:rsidRDefault="0075026A" w:rsidP="00992E94">
      <w:pPr>
        <w:pStyle w:val="PR2"/>
      </w:pPr>
      <w:r>
        <w:lastRenderedPageBreak/>
        <w:t>End of Life. GFCI receptacles shall include End-of-Life protection, such that when the GFCI device is incapable of passing the internal self-test function, and can therefore no longer provide ground fault protection, the GFCI receptacle will either render itself incapable of delivering power, or indicate by visual or audible means that the device must be replaced</w:t>
      </w:r>
    </w:p>
    <w:p w14:paraId="75559275" w14:textId="77777777" w:rsidR="0075026A" w:rsidRDefault="0075026A" w:rsidP="00992E94">
      <w:pPr>
        <w:pStyle w:val="PR2"/>
      </w:pPr>
      <w:r>
        <w:t>Reverse Line-Load Mis</w:t>
      </w:r>
      <w:r w:rsidR="00D62F54">
        <w:t>-</w:t>
      </w:r>
      <w:r>
        <w:t xml:space="preserve">wire. GFCI receptacles shall include reverse line-line protection, such that the GFCI device will deny power to the receptacle face if it is mis-wired with the connections to the line and load terminals reversed. </w:t>
      </w:r>
    </w:p>
    <w:p w14:paraId="6EE09181" w14:textId="77777777" w:rsidR="0075026A" w:rsidRDefault="0075026A" w:rsidP="00992E94">
      <w:pPr>
        <w:pStyle w:val="PR2"/>
      </w:pPr>
      <w:r>
        <w:t>Listing. UL 943, current edition.</w:t>
      </w:r>
    </w:p>
    <w:p w14:paraId="383AFD92" w14:textId="77777777" w:rsidR="0075026A" w:rsidRDefault="0075026A" w:rsidP="00992E94">
      <w:pPr>
        <w:pStyle w:val="PR2"/>
      </w:pPr>
      <w:r>
        <w:t xml:space="preserve">Do not use feed through feature.  </w:t>
      </w:r>
    </w:p>
    <w:p w14:paraId="4A1E9FAF" w14:textId="77777777" w:rsidR="0075026A" w:rsidRDefault="0075026A" w:rsidP="00992E94">
      <w:pPr>
        <w:pStyle w:val="PR2"/>
      </w:pPr>
      <w:r>
        <w:t xml:space="preserve">GFCI receptacles are required throughout the building within 6 feet of sinks, including lab areas.  </w:t>
      </w:r>
    </w:p>
    <w:p w14:paraId="13E0C7A8" w14:textId="77777777" w:rsidR="0075026A" w:rsidRDefault="0075026A" w:rsidP="00992E94">
      <w:pPr>
        <w:pStyle w:val="PR2"/>
      </w:pPr>
      <w:r>
        <w:t>Each GFCI device shall control only one receptacle.</w:t>
      </w:r>
    </w:p>
    <w:p w14:paraId="31582BA8" w14:textId="77777777" w:rsidR="0075026A" w:rsidRDefault="0075026A" w:rsidP="00992E94">
      <w:pPr>
        <w:pStyle w:val="PR2"/>
      </w:pPr>
      <w:r>
        <w:t xml:space="preserve">Where receptacle is installed in damp or wet locations provide weather resistant type GFCI receptacles. </w:t>
      </w:r>
    </w:p>
    <w:p w14:paraId="1E8FABA4" w14:textId="77777777" w:rsidR="0075026A" w:rsidRDefault="0075026A" w:rsidP="0075026A">
      <w:pPr>
        <w:pStyle w:val="PR1"/>
      </w:pPr>
      <w:r>
        <w:t>Specific-use receptacles shall have volts, amps, poles, and NEMA configuration as noted on Drawings.</w:t>
      </w:r>
    </w:p>
    <w:p w14:paraId="08B883BB" w14:textId="77777777" w:rsidR="0075026A" w:rsidRDefault="0075026A" w:rsidP="0075026A">
      <w:pPr>
        <w:pStyle w:val="PR1"/>
      </w:pPr>
      <w:r>
        <w:t>Weatherproof Receptacles.  Receptacles specified or indicated as "weatherproof" shall be mounted in a cast steel box with gasketed, weatherproof device plate as specified.  Provide weatherproof, gasketed device covers suitable for continuous connection of cord-and-plug devices. See paragraph 2.5E, this Section.</w:t>
      </w:r>
    </w:p>
    <w:p w14:paraId="29A2458C" w14:textId="77777777" w:rsidR="0075026A" w:rsidRDefault="0075026A" w:rsidP="0075026A">
      <w:pPr>
        <w:pStyle w:val="PR1"/>
      </w:pPr>
      <w:r>
        <w:t xml:space="preserve">Automatic Controlled Receptacle. </w:t>
      </w:r>
    </w:p>
    <w:p w14:paraId="5152D091" w14:textId="77777777" w:rsidR="0075026A" w:rsidRDefault="001C39C3" w:rsidP="00992E94">
      <w:pPr>
        <w:pStyle w:val="PR2"/>
      </w:pPr>
      <w:r>
        <w:rPr>
          <w:noProof/>
        </w:rPr>
        <w:drawing>
          <wp:anchor distT="0" distB="0" distL="114300" distR="114300" simplePos="0" relativeHeight="251657728" behindDoc="1" locked="0" layoutInCell="1" allowOverlap="1" wp14:anchorId="1EE45AAF" wp14:editId="3977A2F2">
            <wp:simplePos x="0" y="0"/>
            <wp:positionH relativeFrom="column">
              <wp:posOffset>2152650</wp:posOffset>
            </wp:positionH>
            <wp:positionV relativeFrom="paragraph">
              <wp:posOffset>793750</wp:posOffset>
            </wp:positionV>
            <wp:extent cx="256090" cy="299720"/>
            <wp:effectExtent l="0" t="0" r="0" b="508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6903" cy="300671"/>
                    </a:xfrm>
                    <a:prstGeom prst="rect">
                      <a:avLst/>
                    </a:prstGeom>
                    <a:noFill/>
                    <a:ln>
                      <a:noFill/>
                    </a:ln>
                  </pic:spPr>
                </pic:pic>
              </a:graphicData>
            </a:graphic>
            <wp14:sizeRelH relativeFrom="page">
              <wp14:pctWidth>0</wp14:pctWidth>
            </wp14:sizeRelH>
            <wp14:sizeRelV relativeFrom="page">
              <wp14:pctHeight>0</wp14:pctHeight>
            </wp14:sizeRelV>
          </wp:anchor>
        </w:drawing>
      </w:r>
      <w:r w:rsidR="0075026A">
        <w:t xml:space="preserve">All nonlocking-type, 125 volt, 15 and 20 ampere receptacles that are controlled by an automatic control device or incorporate control features that remove power from the outlet for the purpose of energy management or building automation shall be marked with the symbol indicated in parargaph 2.3.I.2 of this Section placed on the controlled receptacle outlet where visible after installation. </w:t>
      </w:r>
    </w:p>
    <w:p w14:paraId="71183A2B" w14:textId="77777777" w:rsidR="0075026A" w:rsidRPr="00197BBA" w:rsidRDefault="0075026A" w:rsidP="00992E94">
      <w:pPr>
        <w:pStyle w:val="PR2"/>
      </w:pPr>
      <w:r>
        <w:t>Receptacle identifier</w:t>
      </w:r>
    </w:p>
    <w:p w14:paraId="497C6840" w14:textId="77777777" w:rsidR="006F15BA" w:rsidRPr="00992E94" w:rsidRDefault="006F15BA" w:rsidP="00197BBA">
      <w:pPr>
        <w:pStyle w:val="ART"/>
        <w:numPr>
          <w:ilvl w:val="3"/>
          <w:numId w:val="2"/>
        </w:numPr>
        <w:rPr>
          <w:b/>
        </w:rPr>
      </w:pPr>
      <w:r w:rsidRPr="00992E94">
        <w:rPr>
          <w:b/>
        </w:rPr>
        <w:t>Device plates</w:t>
      </w:r>
    </w:p>
    <w:p w14:paraId="44B836FE" w14:textId="77777777" w:rsidR="00BF39DA" w:rsidRDefault="005109FC" w:rsidP="00197BBA">
      <w:pPr>
        <w:pStyle w:val="PR1"/>
      </w:pPr>
      <w:r>
        <w:t>[</w:t>
      </w:r>
      <w:r w:rsidR="001B0ECB">
        <w:t>Laboratories</w:t>
      </w:r>
      <w:r w:rsidR="00BF39DA">
        <w:t xml:space="preserve"> and Patient Care Areas:  Use 302 stainless steel.</w:t>
      </w:r>
      <w:r>
        <w:t>]</w:t>
      </w:r>
    </w:p>
    <w:p w14:paraId="6A227CA5" w14:textId="77777777" w:rsidR="00BF39DA" w:rsidRDefault="005109FC" w:rsidP="00197BBA">
      <w:pPr>
        <w:pStyle w:val="PR1"/>
      </w:pPr>
      <w:r>
        <w:t xml:space="preserve">Coordinate final selection of devices connected to normal power with architect. </w:t>
      </w:r>
    </w:p>
    <w:p w14:paraId="4814C5FE" w14:textId="77777777" w:rsidR="00EF39EB" w:rsidRDefault="00BF39DA" w:rsidP="00197BBA">
      <w:pPr>
        <w:pStyle w:val="PR1"/>
      </w:pPr>
      <w:r>
        <w:t>Exposed Boxes in Dry Interior Spaces:</w:t>
      </w:r>
    </w:p>
    <w:p w14:paraId="5FFC8B5F" w14:textId="77777777" w:rsidR="00EF39EB" w:rsidRDefault="00BF39DA" w:rsidP="00EF39EB">
      <w:pPr>
        <w:pStyle w:val="PR2"/>
      </w:pPr>
      <w:r>
        <w:t>Ma</w:t>
      </w:r>
      <w:r w:rsidR="009F2B30">
        <w:t>nufacture</w:t>
      </w:r>
      <w:r>
        <w:t xml:space="preserve"> plates of heavy cadmium-plated sheet steel. </w:t>
      </w:r>
    </w:p>
    <w:p w14:paraId="767B9D24" w14:textId="77777777" w:rsidR="00BF39DA" w:rsidRDefault="00BF39DA" w:rsidP="00EF39EB">
      <w:pPr>
        <w:pStyle w:val="PR2"/>
      </w:pPr>
      <w:r>
        <w:t>Edges of plates must be flush with edges of boxes.</w:t>
      </w:r>
    </w:p>
    <w:p w14:paraId="7F4861EA" w14:textId="77777777" w:rsidR="00EF39EB" w:rsidRDefault="00BF39DA" w:rsidP="00197BBA">
      <w:pPr>
        <w:pStyle w:val="PR1"/>
      </w:pPr>
      <w:r>
        <w:t xml:space="preserve">Other Areas:  </w:t>
      </w:r>
    </w:p>
    <w:p w14:paraId="16E14752" w14:textId="77777777" w:rsidR="00EF39EB" w:rsidRDefault="00BF39DA" w:rsidP="00EF39EB">
      <w:pPr>
        <w:pStyle w:val="PR2"/>
      </w:pPr>
      <w:r>
        <w:t>U</w:t>
      </w:r>
      <w:r w:rsidR="00EF39EB">
        <w:t>se weatherproof device plates.</w:t>
      </w:r>
    </w:p>
    <w:p w14:paraId="5B79CB43" w14:textId="77777777" w:rsidR="00BF39DA" w:rsidRDefault="00BF39DA" w:rsidP="00EF39EB">
      <w:pPr>
        <w:pStyle w:val="PR2"/>
      </w:pPr>
      <w:r>
        <w:t>Provide cast plates with gasketed spring door covers for protection of device.</w:t>
      </w:r>
    </w:p>
    <w:p w14:paraId="6A77A533" w14:textId="77777777" w:rsidR="00BF39DA" w:rsidRDefault="00BF39DA" w:rsidP="00197BBA">
      <w:pPr>
        <w:pStyle w:val="PR1"/>
      </w:pPr>
      <w:r>
        <w:t>For outlets and switches, provide labeled nameplates listing power source and circuit number. Example</w:t>
      </w:r>
      <w:r w:rsidR="00EF39EB">
        <w:t xml:space="preserve">: </w:t>
      </w:r>
      <w:r>
        <w:t xml:space="preserve"> P10 for panel “P” circuit “10”. Label to be tape type black letters on white for normal power and red on white for all generator/emergency circuits.</w:t>
      </w:r>
    </w:p>
    <w:p w14:paraId="0B0989E5" w14:textId="77777777" w:rsidR="00BF39DA" w:rsidRDefault="00BF39DA" w:rsidP="00197BBA">
      <w:pPr>
        <w:pStyle w:val="PR1"/>
      </w:pPr>
      <w:r>
        <w:lastRenderedPageBreak/>
        <w:t xml:space="preserve">Covers for outlets outdoors shall </w:t>
      </w:r>
      <w:r w:rsidR="00740427">
        <w:t xml:space="preserve">be weatherproof while in use and </w:t>
      </w:r>
      <w:r>
        <w:t>meet the requirements of latest NEC.</w:t>
      </w:r>
    </w:p>
    <w:p w14:paraId="07FBCD0B" w14:textId="77777777" w:rsidR="006F15BA" w:rsidRPr="00992E94" w:rsidRDefault="006F15BA" w:rsidP="00197BBA">
      <w:pPr>
        <w:pStyle w:val="ART"/>
        <w:numPr>
          <w:ilvl w:val="3"/>
          <w:numId w:val="2"/>
        </w:numPr>
        <w:rPr>
          <w:b/>
        </w:rPr>
      </w:pPr>
      <w:r w:rsidRPr="00992E94">
        <w:rPr>
          <w:b/>
        </w:rPr>
        <w:t>Device color</w:t>
      </w:r>
    </w:p>
    <w:p w14:paraId="61F5D0F9" w14:textId="77777777" w:rsidR="00BF39DA" w:rsidRDefault="00BF39DA" w:rsidP="00197BBA">
      <w:pPr>
        <w:pStyle w:val="PR1"/>
      </w:pPr>
      <w:r>
        <w:t>All switches shall be white except as follows:  Red switches shall be used on all equipment and circuits connected to emergency power.</w:t>
      </w:r>
    </w:p>
    <w:p w14:paraId="2E5EC037" w14:textId="77777777" w:rsidR="00BF39DA" w:rsidRDefault="00BF39DA" w:rsidP="00197BBA">
      <w:pPr>
        <w:pStyle w:val="PR1"/>
      </w:pPr>
      <w:r>
        <w:t xml:space="preserve">Normal power receptacles shall be white and receptacles connected to the emergency electrical circuits shall be red.  </w:t>
      </w:r>
    </w:p>
    <w:p w14:paraId="0400DD12" w14:textId="77777777" w:rsidR="00BF39DA" w:rsidRDefault="008666CB" w:rsidP="00197BBA">
      <w:pPr>
        <w:pStyle w:val="PR1"/>
      </w:pPr>
      <w:r w:rsidDel="008666CB">
        <w:t xml:space="preserve"> </w:t>
      </w:r>
      <w:r>
        <w:t>[</w:t>
      </w:r>
      <w:r w:rsidR="00BF39DA">
        <w:t>Isolated ground receptacles shall be orange.</w:t>
      </w:r>
      <w:r>
        <w:t>]</w:t>
      </w:r>
    </w:p>
    <w:p w14:paraId="302D9BE9" w14:textId="77777777" w:rsidR="008666CB" w:rsidRDefault="008666CB" w:rsidP="00197BBA">
      <w:pPr>
        <w:pStyle w:val="PR1"/>
      </w:pPr>
      <w:r>
        <w:t>For receptacles controlled by an automatic load control system per ASHRAE 90.1, provide the power symbol as required per NEC. [</w:t>
      </w:r>
      <w:r w:rsidR="00CC1E4D">
        <w:t xml:space="preserve">SPECWRITER: Determine if </w:t>
      </w:r>
      <w:r>
        <w:t>green</w:t>
      </w:r>
      <w:r w:rsidR="007B00C7">
        <w:t xml:space="preserve"> or other color</w:t>
      </w:r>
      <w:r>
        <w:t xml:space="preserve"> devices and nameplates</w:t>
      </w:r>
      <w:r w:rsidR="00CC1E4D">
        <w:t xml:space="preserve"> are to be provided.</w:t>
      </w:r>
      <w:r>
        <w:t>.]</w:t>
      </w:r>
    </w:p>
    <w:p w14:paraId="60C2FF1A" w14:textId="77777777" w:rsidR="000F3AE5" w:rsidRPr="00992E94" w:rsidRDefault="000F3AE5" w:rsidP="00197BBA">
      <w:pPr>
        <w:pStyle w:val="ART"/>
        <w:numPr>
          <w:ilvl w:val="3"/>
          <w:numId w:val="2"/>
        </w:numPr>
        <w:rPr>
          <w:b/>
        </w:rPr>
      </w:pPr>
      <w:r w:rsidRPr="00992E94">
        <w:rPr>
          <w:b/>
        </w:rPr>
        <w:t>Wall dimmers</w:t>
      </w:r>
    </w:p>
    <w:p w14:paraId="33C170E5" w14:textId="77777777" w:rsidR="000F3AE5" w:rsidRDefault="000F3AE5" w:rsidP="00197BBA">
      <w:pPr>
        <w:pStyle w:val="PR1"/>
      </w:pPr>
      <w:r>
        <w:t xml:space="preserve">Wall dimmers shall be linear slide type equal to Lutron Nova Series. </w:t>
      </w:r>
    </w:p>
    <w:p w14:paraId="1F14E2FA" w14:textId="77777777" w:rsidR="000F3AE5" w:rsidRDefault="000F3AE5" w:rsidP="00197BBA">
      <w:pPr>
        <w:pStyle w:val="PR1"/>
      </w:pPr>
      <w:r>
        <w:t xml:space="preserve">Dimmers shall be </w:t>
      </w:r>
      <w:r w:rsidR="0069789E">
        <w:t>compatible with dimmable lighting as specified.</w:t>
      </w:r>
    </w:p>
    <w:p w14:paraId="7F5445DE" w14:textId="77777777" w:rsidR="0069789E" w:rsidRDefault="0069789E" w:rsidP="00197BBA">
      <w:pPr>
        <w:pStyle w:val="PR1"/>
      </w:pPr>
      <w:r>
        <w:t xml:space="preserve">Dimmers with pre-set scenes shall contain manual dimming as well. </w:t>
      </w:r>
    </w:p>
    <w:p w14:paraId="5F094690" w14:textId="77777777" w:rsidR="0069789E" w:rsidRDefault="0069789E" w:rsidP="00197BBA">
      <w:pPr>
        <w:pStyle w:val="PR1"/>
      </w:pPr>
      <w:r>
        <w:t xml:space="preserve">0-10V current sink dimmers must be coordinated with the dimming ballasts and drivers. Where ballasts and drivers do not go off at a minimum voltage, provide a separate relay or switching device to completely remove voltage and turn the drivers and ballasts completely off. The relay and switching device can be provided as part of the slide dimmer if the entire device is listed as a complete assembly.  </w:t>
      </w:r>
    </w:p>
    <w:p w14:paraId="01E4F854" w14:textId="77777777" w:rsidR="00441510" w:rsidRPr="007B00C7" w:rsidRDefault="00441510" w:rsidP="00992E94">
      <w:pPr>
        <w:pStyle w:val="PR1"/>
      </w:pPr>
      <w:r w:rsidRPr="007B00C7">
        <w:t>Manufacturers</w:t>
      </w:r>
    </w:p>
    <w:p w14:paraId="4492B963" w14:textId="77777777" w:rsidR="00441510" w:rsidRDefault="00441510" w:rsidP="00FB0D4F">
      <w:pPr>
        <w:pStyle w:val="PR2"/>
      </w:pPr>
      <w:r>
        <w:t>Leviton.</w:t>
      </w:r>
    </w:p>
    <w:p w14:paraId="4BDEE39B" w14:textId="77777777" w:rsidR="00441510" w:rsidRDefault="00441510" w:rsidP="00FB0D4F">
      <w:pPr>
        <w:pStyle w:val="PR2"/>
      </w:pPr>
      <w:r>
        <w:t>Hubbell</w:t>
      </w:r>
    </w:p>
    <w:p w14:paraId="40CE8694" w14:textId="77777777" w:rsidR="00441510" w:rsidRDefault="00441510" w:rsidP="00992E94">
      <w:pPr>
        <w:pStyle w:val="PR2"/>
      </w:pPr>
      <w:r>
        <w:t>Other manufacturers as specifically approved in writing by Owner.</w:t>
      </w:r>
    </w:p>
    <w:p w14:paraId="4E0DAA5D" w14:textId="77777777" w:rsidR="000F3AE5" w:rsidRPr="00992E94" w:rsidRDefault="000F3AE5" w:rsidP="00197BBA">
      <w:pPr>
        <w:pStyle w:val="ART"/>
        <w:numPr>
          <w:ilvl w:val="3"/>
          <w:numId w:val="2"/>
        </w:numPr>
        <w:rPr>
          <w:b/>
        </w:rPr>
      </w:pPr>
      <w:r w:rsidRPr="00992E94">
        <w:rPr>
          <w:b/>
        </w:rPr>
        <w:t>Light occupancy sensors</w:t>
      </w:r>
    </w:p>
    <w:p w14:paraId="7D4DA060" w14:textId="77777777" w:rsidR="000F3AE5" w:rsidRDefault="000F3AE5" w:rsidP="00197BBA">
      <w:pPr>
        <w:pStyle w:val="PR1"/>
      </w:pPr>
      <w:r>
        <w:t xml:space="preserve">Lighting occupancy sensors shall be installed as a functioning system per </w:t>
      </w:r>
      <w:r w:rsidR="009F2B30">
        <w:t>t</w:t>
      </w:r>
      <w:r w:rsidR="00EF39EB">
        <w:t>he Contract Documents</w:t>
      </w:r>
      <w:r>
        <w:t xml:space="preserve"> and manufacturer’s installation instructions.</w:t>
      </w:r>
    </w:p>
    <w:p w14:paraId="260E86FA" w14:textId="77777777" w:rsidR="000F3AE5" w:rsidRDefault="00CC1E4D" w:rsidP="00197BBA">
      <w:pPr>
        <w:pStyle w:val="PR1"/>
      </w:pPr>
      <w:r>
        <w:t xml:space="preserve">Required </w:t>
      </w:r>
      <w:r w:rsidR="000F3AE5">
        <w:t xml:space="preserve">commissioning shall be completed prior to </w:t>
      </w:r>
      <w:r w:rsidR="00EF39EB">
        <w:t>Substantial Completion</w:t>
      </w:r>
      <w:r w:rsidR="000F3AE5">
        <w:t>.</w:t>
      </w:r>
    </w:p>
    <w:p w14:paraId="165CE14A" w14:textId="77777777" w:rsidR="00B309D1" w:rsidRDefault="00B309D1" w:rsidP="00197BBA">
      <w:pPr>
        <w:pStyle w:val="PR1"/>
      </w:pPr>
      <w:r>
        <w:t>Ultrasonic motion detectors shall not be used in vivarium corridors.</w:t>
      </w:r>
    </w:p>
    <w:p w14:paraId="043B9DC4" w14:textId="77777777" w:rsidR="005109FC" w:rsidRDefault="005109FC" w:rsidP="005109FC">
      <w:pPr>
        <w:pStyle w:val="PR1"/>
      </w:pPr>
      <w:r>
        <w:t xml:space="preserve">Occupancy sensors shall be dual technology with learning capability. </w:t>
      </w:r>
    </w:p>
    <w:p w14:paraId="7E201F6C" w14:textId="77777777" w:rsidR="005109FC" w:rsidRDefault="005109FC" w:rsidP="005109FC">
      <w:pPr>
        <w:pStyle w:val="PR1"/>
      </w:pPr>
      <w:r>
        <w:t xml:space="preserve">Provide auxiliary contacts as required for proper functioning of lighting control system, automatic load control of receptacles in areas identified by AHSRAE 90.1, and as indicated in the Drawings. </w:t>
      </w:r>
    </w:p>
    <w:p w14:paraId="31626D6B" w14:textId="77777777" w:rsidR="005109FC" w:rsidRDefault="00441510" w:rsidP="005109FC">
      <w:pPr>
        <w:pStyle w:val="PR1"/>
      </w:pPr>
      <w:r>
        <w:t>Manufacturers</w:t>
      </w:r>
    </w:p>
    <w:p w14:paraId="280C6D07" w14:textId="77777777" w:rsidR="00441510" w:rsidRDefault="00441510" w:rsidP="00441510">
      <w:pPr>
        <w:pStyle w:val="PR2"/>
      </w:pPr>
      <w:r>
        <w:t>Wattstopper.</w:t>
      </w:r>
    </w:p>
    <w:p w14:paraId="7FBF6022" w14:textId="77777777" w:rsidR="00441510" w:rsidRDefault="00441510" w:rsidP="00441510">
      <w:pPr>
        <w:pStyle w:val="PR2"/>
      </w:pPr>
      <w:r>
        <w:t>Novitas.</w:t>
      </w:r>
    </w:p>
    <w:p w14:paraId="6BD7FA33" w14:textId="77777777" w:rsidR="00441510" w:rsidRDefault="00441510" w:rsidP="00441510">
      <w:pPr>
        <w:pStyle w:val="PR2"/>
      </w:pPr>
      <w:r>
        <w:t>Hubbell</w:t>
      </w:r>
    </w:p>
    <w:p w14:paraId="57A66E7D" w14:textId="77777777" w:rsidR="00441510" w:rsidRDefault="00441510" w:rsidP="00992E94">
      <w:pPr>
        <w:pStyle w:val="PR2"/>
      </w:pPr>
      <w:r>
        <w:t>Other manufacturers as specifically approved in writing by Owner.</w:t>
      </w:r>
    </w:p>
    <w:p w14:paraId="26E983E8" w14:textId="77777777" w:rsidR="006F15BA" w:rsidRPr="00992E94" w:rsidRDefault="006F15BA" w:rsidP="00197BBA">
      <w:pPr>
        <w:pStyle w:val="ART"/>
        <w:numPr>
          <w:ilvl w:val="3"/>
          <w:numId w:val="2"/>
        </w:numPr>
        <w:rPr>
          <w:b/>
        </w:rPr>
      </w:pPr>
      <w:r w:rsidRPr="00992E94">
        <w:rPr>
          <w:b/>
        </w:rPr>
        <w:lastRenderedPageBreak/>
        <w:t>Telecommunication</w:t>
      </w:r>
      <w:r w:rsidR="008666CB">
        <w:rPr>
          <w:b/>
        </w:rPr>
        <w:t>, A/V, And Security</w:t>
      </w:r>
      <w:r w:rsidRPr="00992E94">
        <w:rPr>
          <w:b/>
        </w:rPr>
        <w:t xml:space="preserve"> outlets</w:t>
      </w:r>
    </w:p>
    <w:p w14:paraId="67763498" w14:textId="77777777" w:rsidR="00EF39EB" w:rsidRDefault="000F3AE5" w:rsidP="00197BBA">
      <w:pPr>
        <w:pStyle w:val="PR1"/>
      </w:pPr>
      <w:r>
        <w:t>Telecommunication</w:t>
      </w:r>
      <w:r w:rsidR="00721EB2">
        <w:t>, AV and Security</w:t>
      </w:r>
      <w:r>
        <w:t xml:space="preserve"> outlets, boxes, sleeves and conduit are part of this </w:t>
      </w:r>
      <w:r w:rsidR="007D4698">
        <w:t>Contract</w:t>
      </w:r>
      <w:r w:rsidR="00EF39EB">
        <w:t>.</w:t>
      </w:r>
    </w:p>
    <w:p w14:paraId="3CCC98D7" w14:textId="77777777" w:rsidR="008666CB" w:rsidRDefault="007B00C7" w:rsidP="00992E94">
      <w:pPr>
        <w:pStyle w:val="PR1"/>
        <w:numPr>
          <w:ilvl w:val="0"/>
          <w:numId w:val="0"/>
        </w:numPr>
        <w:ind w:left="288"/>
      </w:pPr>
      <w:r>
        <w:t>[***</w:t>
      </w:r>
      <w:r w:rsidR="008666CB" w:rsidRPr="00992E94">
        <w:rPr>
          <w:caps/>
        </w:rPr>
        <w:t>Spec Writer Note-Coordinate conduit requirements with telecom and AV</w:t>
      </w:r>
      <w:r>
        <w:t>]</w:t>
      </w:r>
    </w:p>
    <w:p w14:paraId="10103FFB" w14:textId="77777777" w:rsidR="00EF39EB" w:rsidRDefault="008666CB" w:rsidP="00197BBA">
      <w:pPr>
        <w:pStyle w:val="PR1"/>
      </w:pPr>
      <w:r>
        <w:t>Provide conduit as indicated in Telecom, A/V and Security Drawings.  In the absence of conduit sizes and quantities being indicated in the Telecom, A/V and Security Construction Documents, p</w:t>
      </w:r>
      <w:r w:rsidR="000F3AE5">
        <w:t xml:space="preserve">rovide outlet boxes and </w:t>
      </w:r>
      <w:r w:rsidR="00D2343F">
        <w:t>1</w:t>
      </w:r>
      <w:r w:rsidR="009F2B30">
        <w:t>-</w:t>
      </w:r>
      <w:r w:rsidR="000F3AE5">
        <w:t xml:space="preserve">inch conduit with connector and bushing to accessible </w:t>
      </w:r>
      <w:r>
        <w:t>[</w:t>
      </w:r>
      <w:r w:rsidR="000F3AE5">
        <w:t>location above the ceiling</w:t>
      </w:r>
      <w:r>
        <w:t>][source panel or device as indicated in Telecom, A/V or Security Construction Documents]</w:t>
      </w:r>
      <w:r w:rsidR="000F3AE5">
        <w:t xml:space="preserve">.  </w:t>
      </w:r>
    </w:p>
    <w:p w14:paraId="5A734BC9" w14:textId="77777777" w:rsidR="00EF39EB" w:rsidRDefault="000F3AE5" w:rsidP="00197BBA">
      <w:pPr>
        <w:pStyle w:val="PR1"/>
      </w:pPr>
      <w:r>
        <w:t xml:space="preserve">Provide a pull string in each conduit and tie off pull string above ceiling.  </w:t>
      </w:r>
    </w:p>
    <w:p w14:paraId="142F426D" w14:textId="77777777" w:rsidR="000F3AE5" w:rsidRDefault="000F3AE5" w:rsidP="00197BBA">
      <w:pPr>
        <w:pStyle w:val="PR1"/>
      </w:pPr>
      <w:r>
        <w:t xml:space="preserve">For floor outlets, provide 1-inch conduit to accessible location above the ceiling on the floor served by the outlet.  </w:t>
      </w:r>
    </w:p>
    <w:p w14:paraId="7414125B" w14:textId="77777777" w:rsidR="008666CB" w:rsidRPr="00663ABA" w:rsidRDefault="008666CB" w:rsidP="008666CB">
      <w:pPr>
        <w:pStyle w:val="ART"/>
      </w:pPr>
      <w:r>
        <w:t>Fire rated poke throughs</w:t>
      </w:r>
    </w:p>
    <w:p w14:paraId="41112731" w14:textId="77777777" w:rsidR="008666CB" w:rsidRDefault="008666CB" w:rsidP="008666CB">
      <w:pPr>
        <w:pStyle w:val="PR1"/>
      </w:pPr>
      <w:r>
        <w:t>Install poke through devices per manufacturer requirements</w:t>
      </w:r>
      <w:r w:rsidR="00721EB2">
        <w:t>.</w:t>
      </w:r>
      <w:r>
        <w:t xml:space="preserve"> </w:t>
      </w:r>
    </w:p>
    <w:p w14:paraId="4A195FA3" w14:textId="77777777" w:rsidR="005D2221" w:rsidRDefault="005D2221">
      <w:pPr>
        <w:pStyle w:val="PRT"/>
      </w:pPr>
      <w:r>
        <w:t>EXECUTION</w:t>
      </w:r>
    </w:p>
    <w:p w14:paraId="4A76CC14" w14:textId="77777777" w:rsidR="0075026A" w:rsidRPr="0075026A" w:rsidRDefault="0075026A" w:rsidP="0075026A">
      <w:pPr>
        <w:pStyle w:val="ART"/>
        <w:numPr>
          <w:ilvl w:val="3"/>
          <w:numId w:val="2"/>
        </w:numPr>
        <w:rPr>
          <w:b/>
        </w:rPr>
      </w:pPr>
      <w:r w:rsidRPr="0075026A">
        <w:rPr>
          <w:b/>
        </w:rPr>
        <w:t>DELIVERY, STORAGE AND HANDLING</w:t>
      </w:r>
    </w:p>
    <w:p w14:paraId="4A7FE944" w14:textId="77777777" w:rsidR="0075026A" w:rsidRPr="00F00145" w:rsidRDefault="0075026A" w:rsidP="00992E94">
      <w:pPr>
        <w:pStyle w:val="PR1"/>
        <w:numPr>
          <w:ilvl w:val="4"/>
          <w:numId w:val="2"/>
        </w:numPr>
      </w:pPr>
      <w:r w:rsidRPr="00D62F54">
        <w:t>Deliver wiring devices individually wrapped in factory-fabricated containers.</w:t>
      </w:r>
    </w:p>
    <w:p w14:paraId="2824B2EA" w14:textId="77777777" w:rsidR="0075026A" w:rsidRPr="00F00145" w:rsidRDefault="0075026A" w:rsidP="00992E94">
      <w:pPr>
        <w:pStyle w:val="PR1"/>
        <w:numPr>
          <w:ilvl w:val="4"/>
          <w:numId w:val="2"/>
        </w:numPr>
      </w:pPr>
      <w:r w:rsidRPr="00D62F54">
        <w:t>Handle wiring devices carefully to avoid breaking, scoring, and damage to material components, enclosure and finish. Damaged products shall be rejected and not be installed on this project.</w:t>
      </w:r>
    </w:p>
    <w:p w14:paraId="22F0935A" w14:textId="77777777" w:rsidR="0075026A" w:rsidRPr="00F00145" w:rsidRDefault="0075026A" w:rsidP="00992E94">
      <w:pPr>
        <w:pStyle w:val="PR1"/>
        <w:numPr>
          <w:ilvl w:val="4"/>
          <w:numId w:val="2"/>
        </w:numPr>
      </w:pPr>
      <w:r w:rsidRPr="00D62F54">
        <w:t>Store wiring devices in a clean, dry space, elevated above grade, and protected from weather, dirt, sunlight, and moisture.</w:t>
      </w:r>
    </w:p>
    <w:p w14:paraId="02519D18" w14:textId="77777777" w:rsidR="0075026A" w:rsidRPr="00992E94" w:rsidRDefault="0075026A" w:rsidP="0075026A">
      <w:pPr>
        <w:pStyle w:val="ART"/>
        <w:numPr>
          <w:ilvl w:val="3"/>
          <w:numId w:val="2"/>
        </w:numPr>
        <w:rPr>
          <w:b/>
        </w:rPr>
      </w:pPr>
      <w:r w:rsidRPr="00992E94">
        <w:rPr>
          <w:b/>
        </w:rPr>
        <w:t>INSPECTION</w:t>
      </w:r>
    </w:p>
    <w:p w14:paraId="10045A71" w14:textId="77777777" w:rsidR="0075026A" w:rsidRPr="00F00145" w:rsidRDefault="0075026A" w:rsidP="00992E94">
      <w:pPr>
        <w:pStyle w:val="PR1"/>
        <w:numPr>
          <w:ilvl w:val="4"/>
          <w:numId w:val="2"/>
        </w:numPr>
      </w:pPr>
      <w:r w:rsidRPr="00D62F54">
        <w:t>Examine the areas and conditions under which wiring devices are to be installed and notify the Owner and the Architect/Engineer in writing of conditions detrimental to the proper and timely completion of the work.  Include a written plan for correction of deficiencies and conditions noted.  Inspect devices for physical damage.  Do not proceed with the work until unsatisfactory conditions have been corrected.</w:t>
      </w:r>
    </w:p>
    <w:p w14:paraId="120E67CA" w14:textId="77777777" w:rsidR="0075026A" w:rsidRPr="00992E94" w:rsidRDefault="0075026A" w:rsidP="0075026A">
      <w:pPr>
        <w:pStyle w:val="ART"/>
        <w:numPr>
          <w:ilvl w:val="3"/>
          <w:numId w:val="2"/>
        </w:numPr>
        <w:rPr>
          <w:b/>
        </w:rPr>
      </w:pPr>
      <w:r w:rsidRPr="00992E94">
        <w:rPr>
          <w:b/>
        </w:rPr>
        <w:t>DEVICE COORDINATION</w:t>
      </w:r>
    </w:p>
    <w:p w14:paraId="4DB0667B" w14:textId="77777777" w:rsidR="0075026A" w:rsidRPr="00F00145" w:rsidRDefault="0075026A" w:rsidP="00992E94">
      <w:pPr>
        <w:pStyle w:val="PR1"/>
        <w:numPr>
          <w:ilvl w:val="4"/>
          <w:numId w:val="2"/>
        </w:numPr>
      </w:pPr>
      <w:r w:rsidRPr="00D62F54">
        <w:t>Where items of equipment are provided under other Sections, by other Divisions, or by the Owner, provide a compatible receptacle and device plate for the cap or plug, and cord of the equipment.</w:t>
      </w:r>
    </w:p>
    <w:p w14:paraId="03585C12" w14:textId="77777777" w:rsidR="0075026A" w:rsidRPr="00992E94" w:rsidRDefault="0075026A" w:rsidP="0075026A">
      <w:pPr>
        <w:pStyle w:val="ART"/>
        <w:numPr>
          <w:ilvl w:val="3"/>
          <w:numId w:val="2"/>
        </w:numPr>
        <w:rPr>
          <w:b/>
        </w:rPr>
      </w:pPr>
      <w:r w:rsidRPr="00992E94">
        <w:rPr>
          <w:b/>
        </w:rPr>
        <w:t>GENERAL</w:t>
      </w:r>
    </w:p>
    <w:p w14:paraId="6FD0DAC7" w14:textId="77777777" w:rsidR="0075026A" w:rsidRPr="00F00145" w:rsidRDefault="0075026A" w:rsidP="00992E94">
      <w:pPr>
        <w:pStyle w:val="PR1"/>
        <w:numPr>
          <w:ilvl w:val="4"/>
          <w:numId w:val="2"/>
        </w:numPr>
      </w:pPr>
      <w:r w:rsidRPr="00D62F54">
        <w:t>Install wiring devices in accordance with applicable requirements of the NEC, NEMA, ANSI, and the product manufacturer recommendations.</w:t>
      </w:r>
    </w:p>
    <w:p w14:paraId="3A6605FF" w14:textId="77777777" w:rsidR="0075026A" w:rsidRPr="00F00145" w:rsidRDefault="0075026A" w:rsidP="00992E94">
      <w:pPr>
        <w:pStyle w:val="PR1"/>
        <w:numPr>
          <w:ilvl w:val="4"/>
          <w:numId w:val="2"/>
        </w:numPr>
      </w:pPr>
      <w:r w:rsidRPr="00992E94">
        <w:rPr>
          <w:u w:val="single"/>
        </w:rPr>
        <w:t>Taps, Splices and Connections</w:t>
      </w:r>
      <w:r w:rsidRPr="00D62F54">
        <w:t>.  Make grounding (earth) conductor approximately 2 inches longer than the ungrounded (phase) conductors at both ends.  Refer to Section 26 05 26, Grounding and Bonding.</w:t>
      </w:r>
    </w:p>
    <w:p w14:paraId="7700CB4B" w14:textId="77777777" w:rsidR="0075026A" w:rsidRPr="00F00145" w:rsidRDefault="0075026A" w:rsidP="00992E94">
      <w:pPr>
        <w:pStyle w:val="PR1"/>
        <w:numPr>
          <w:ilvl w:val="4"/>
          <w:numId w:val="2"/>
        </w:numPr>
      </w:pPr>
      <w:r w:rsidRPr="00992E94">
        <w:rPr>
          <w:u w:val="single"/>
        </w:rPr>
        <w:t>Termination</w:t>
      </w:r>
      <w:r w:rsidRPr="00D62F54">
        <w:t>. Stranded conductors for branch circuit wiring to snap switches and receptacles shall terminate at the wiring device with an insulated tin-plated copper spade compression terminal.  Select a spade terminal compatible with the wiring devices supplied so that device screw terminals can be torqued to the wiring device manufacturer's recommendations. Refer to Section 26 05 19, Insulated Conductors.</w:t>
      </w:r>
    </w:p>
    <w:p w14:paraId="7483FD45" w14:textId="77777777" w:rsidR="0075026A" w:rsidRPr="00F00145" w:rsidRDefault="0075026A" w:rsidP="00992E94">
      <w:pPr>
        <w:pStyle w:val="PR1"/>
        <w:numPr>
          <w:ilvl w:val="4"/>
          <w:numId w:val="2"/>
        </w:numPr>
      </w:pPr>
      <w:r w:rsidRPr="00D62F54">
        <w:lastRenderedPageBreak/>
        <w:t>Where more than one device occurs in one outlet box, such that the voltage between adjacent devices would exceed 300 volts, provide a barrier for isolation to comply with the requirements of NEC Article 404.8(B).</w:t>
      </w:r>
    </w:p>
    <w:p w14:paraId="0698382E" w14:textId="77777777" w:rsidR="0075026A" w:rsidRPr="00F00145" w:rsidRDefault="0075026A" w:rsidP="00992E94">
      <w:pPr>
        <w:pStyle w:val="PR1"/>
        <w:numPr>
          <w:ilvl w:val="4"/>
          <w:numId w:val="2"/>
        </w:numPr>
      </w:pPr>
      <w:r w:rsidRPr="00992E94">
        <w:rPr>
          <w:u w:val="single"/>
        </w:rPr>
        <w:t>Location</w:t>
      </w:r>
      <w:r w:rsidRPr="00D62F54">
        <w:t>. The approximate location of switches, power outlets, floor boxes, etc., is indicated on the Drawings.  These Drawings, however, may not give complete and accurate information in regard to locations of such items.  Determine exact locations by reference to the general building Drawings and by actual measurements during construction of the building before rough in, subject to the approval of the Constructor Inspector and the Owner's Representative.</w:t>
      </w:r>
    </w:p>
    <w:p w14:paraId="18AFF6C8" w14:textId="77777777" w:rsidR="007F78B2" w:rsidRPr="007F78B2" w:rsidRDefault="0075026A" w:rsidP="00197BBA">
      <w:pPr>
        <w:pStyle w:val="ART"/>
        <w:numPr>
          <w:ilvl w:val="3"/>
          <w:numId w:val="2"/>
        </w:numPr>
        <w:rPr>
          <w:b/>
        </w:rPr>
      </w:pPr>
      <w:r w:rsidRPr="00992E94">
        <w:rPr>
          <w:u w:val="single"/>
        </w:rPr>
        <w:t>Coordination</w:t>
      </w:r>
      <w:r w:rsidRPr="00D62F54">
        <w:t xml:space="preserve">. </w:t>
      </w:r>
      <w:r w:rsidR="00996B62" w:rsidRPr="00D62F54">
        <w:t xml:space="preserve"> Coordinate location, mounting height, and orientation of wiring devices with adjacent outlets for other systems such as HVAC control, voice/data, security, fire alarm, etc.  </w:t>
      </w:r>
    </w:p>
    <w:p w14:paraId="319B27BB" w14:textId="77777777" w:rsidR="005D2221" w:rsidRPr="00992E94" w:rsidRDefault="005D2221" w:rsidP="00197BBA">
      <w:pPr>
        <w:pStyle w:val="ART"/>
        <w:numPr>
          <w:ilvl w:val="3"/>
          <w:numId w:val="2"/>
        </w:numPr>
        <w:rPr>
          <w:b/>
        </w:rPr>
      </w:pPr>
      <w:r w:rsidRPr="00992E94">
        <w:rPr>
          <w:b/>
        </w:rPr>
        <w:t>PREPARATION</w:t>
      </w:r>
    </w:p>
    <w:p w14:paraId="284FF8F1" w14:textId="77777777" w:rsidR="00EF39EB" w:rsidRDefault="007D4698" w:rsidP="00197BBA">
      <w:pPr>
        <w:pStyle w:val="PR1"/>
      </w:pPr>
      <w:r>
        <w:t>Contractor</w:t>
      </w:r>
      <w:r w:rsidR="000F3AE5">
        <w:t xml:space="preserve"> must examine the areas and conditions under which wiring devices are to be installed and notify the </w:t>
      </w:r>
      <w:r w:rsidR="00EF39EB">
        <w:t xml:space="preserve">Owner’s </w:t>
      </w:r>
      <w:r w:rsidR="000F3AE5">
        <w:t xml:space="preserve">Project Manager in writing of conditions detrimental to the proper and timely completion of the </w:t>
      </w:r>
      <w:r w:rsidR="00EF39EB">
        <w:t>W</w:t>
      </w:r>
      <w:r w:rsidR="000F3AE5">
        <w:t xml:space="preserve">ork.  </w:t>
      </w:r>
    </w:p>
    <w:p w14:paraId="1F0DFE62" w14:textId="77777777" w:rsidR="00E85B6D" w:rsidRDefault="000F3AE5" w:rsidP="00197BBA">
      <w:pPr>
        <w:pStyle w:val="PR1"/>
      </w:pPr>
      <w:r>
        <w:t xml:space="preserve">Inspect devices for physical damage.  </w:t>
      </w:r>
    </w:p>
    <w:p w14:paraId="76E4BE5B" w14:textId="77777777" w:rsidR="000F3AE5" w:rsidRDefault="000F3AE5" w:rsidP="00197BBA">
      <w:pPr>
        <w:pStyle w:val="PR1"/>
      </w:pPr>
      <w:r>
        <w:t xml:space="preserve">Do not proceed with the </w:t>
      </w:r>
      <w:r w:rsidR="00EF39EB">
        <w:t>W</w:t>
      </w:r>
      <w:r>
        <w:t>ork until unsatisfactory conditions have been corrected.</w:t>
      </w:r>
    </w:p>
    <w:p w14:paraId="40679136" w14:textId="77777777" w:rsidR="005D2221" w:rsidRPr="00992E94" w:rsidRDefault="005D2221" w:rsidP="00197BBA">
      <w:pPr>
        <w:pStyle w:val="ART"/>
        <w:numPr>
          <w:ilvl w:val="3"/>
          <w:numId w:val="2"/>
        </w:numPr>
        <w:rPr>
          <w:b/>
        </w:rPr>
      </w:pPr>
      <w:r w:rsidRPr="00992E94">
        <w:rPr>
          <w:b/>
        </w:rPr>
        <w:t>INSTALLATION</w:t>
      </w:r>
    </w:p>
    <w:p w14:paraId="603A8AAC" w14:textId="77777777" w:rsidR="005D2221" w:rsidRPr="00B812D5" w:rsidRDefault="005D2221" w:rsidP="00197BBA">
      <w:pPr>
        <w:pStyle w:val="PR1"/>
      </w:pPr>
      <w:r>
        <w:t>Installation shall meet or exceed all applicable federal, state and local requirements, referenced standards and conform to codes and ordinances of authorities having jurisdiction.</w:t>
      </w:r>
    </w:p>
    <w:p w14:paraId="40E6E251" w14:textId="77777777" w:rsidR="005D2221" w:rsidRDefault="005D2221" w:rsidP="00197BBA">
      <w:pPr>
        <w:pStyle w:val="PR1"/>
      </w:pPr>
      <w:r>
        <w:t>All installation shall be in accordance with manufacturer’s published recommendations.</w:t>
      </w:r>
    </w:p>
    <w:p w14:paraId="74852499" w14:textId="77777777" w:rsidR="000F3AE5" w:rsidRDefault="000F3AE5" w:rsidP="00197BBA">
      <w:pPr>
        <w:pStyle w:val="PR1"/>
      </w:pPr>
      <w:r>
        <w:t>Wall switch and receptacle ground wiring shall terminate at the wiring device with an insulated tin-plated copper spade compression terminal.  Select a spade terminal compatible with the wiring devices supplied so that device screw terminals can be torqued to the wiring device manufacturer's recommendations</w:t>
      </w:r>
    </w:p>
    <w:p w14:paraId="32DA065B" w14:textId="77777777" w:rsidR="006A5A6F" w:rsidRDefault="004E0213" w:rsidP="00197BBA">
      <w:pPr>
        <w:pStyle w:val="PR1"/>
      </w:pPr>
      <w:r>
        <w:t>Wall r</w:t>
      </w:r>
      <w:r w:rsidR="006A5A6F">
        <w:t>eceptacles shall be installed with the ground pinhole in the up position, unless instructed otherwise by the Owner.</w:t>
      </w:r>
      <w:r w:rsidR="0088438A">
        <w:t xml:space="preserve"> Where installed horizontally, the ground pinhole shall be installed at the left side.</w:t>
      </w:r>
    </w:p>
    <w:p w14:paraId="7132A5CD" w14:textId="77777777" w:rsidR="000F3AE5" w:rsidRDefault="00E271E5" w:rsidP="00197BBA">
      <w:pPr>
        <w:pStyle w:val="PR1"/>
      </w:pPr>
      <w:r>
        <w:t>The approximate</w:t>
      </w:r>
      <w:r w:rsidR="00E85B6D">
        <w:t xml:space="preserve"> </w:t>
      </w:r>
      <w:r>
        <w:t xml:space="preserve">location of switches and receptacles are indicated on the </w:t>
      </w:r>
      <w:r w:rsidR="007D4698">
        <w:t>Drawings</w:t>
      </w:r>
      <w:r>
        <w:t xml:space="preserve">.  These </w:t>
      </w:r>
      <w:r w:rsidR="007D4698">
        <w:t>Drawings</w:t>
      </w:r>
      <w:r>
        <w:t xml:space="preserve">, however, may not give complete and accurate information in regard to locations of such items.  Determine exact locations by reference to the </w:t>
      </w:r>
      <w:r w:rsidR="00E85B6D">
        <w:t>architectural</w:t>
      </w:r>
      <w:r>
        <w:t xml:space="preserve"> </w:t>
      </w:r>
      <w:r w:rsidR="007D4698">
        <w:t>Drawings</w:t>
      </w:r>
      <w:r>
        <w:t xml:space="preserve"> and by actual measurements during construction of the building before rough-in, subject to th</w:t>
      </w:r>
      <w:r w:rsidR="00EF53FA">
        <w:t xml:space="preserve">e approval of the </w:t>
      </w:r>
      <w:r w:rsidR="00E85B6D">
        <w:t xml:space="preserve">Owner’s </w:t>
      </w:r>
      <w:r w:rsidR="00EF53FA">
        <w:t>Project Manager.</w:t>
      </w:r>
    </w:p>
    <w:p w14:paraId="3F0F9405" w14:textId="77777777" w:rsidR="000F3AE5" w:rsidRDefault="00EF53FA" w:rsidP="00197BBA">
      <w:pPr>
        <w:pStyle w:val="PR1"/>
      </w:pPr>
      <w:r>
        <w:t xml:space="preserve">Install wall switches 48 inches above </w:t>
      </w:r>
      <w:r w:rsidR="00E85B6D">
        <w:t xml:space="preserve">finished </w:t>
      </w:r>
      <w:r>
        <w:t>floor, OFF position down.</w:t>
      </w:r>
    </w:p>
    <w:p w14:paraId="53AE690B" w14:textId="77777777" w:rsidR="00EF53FA" w:rsidRDefault="00EF53FA" w:rsidP="00197BBA">
      <w:pPr>
        <w:pStyle w:val="PR1"/>
      </w:pPr>
      <w:r>
        <w:t>Install wall dimmers 48 inches above floor; derate ganged dimmers as instructed by manufacturer; do not use common neutral.</w:t>
      </w:r>
    </w:p>
    <w:p w14:paraId="6500B40B" w14:textId="77777777" w:rsidR="00EF53FA" w:rsidRDefault="00EF53FA" w:rsidP="00197BBA">
      <w:pPr>
        <w:pStyle w:val="PR1"/>
      </w:pPr>
      <w:r>
        <w:t xml:space="preserve">Where wainscot </w:t>
      </w:r>
      <w:r w:rsidR="00E85B6D">
        <w:t>i</w:t>
      </w:r>
      <w:r>
        <w:t>s near the 48</w:t>
      </w:r>
      <w:r w:rsidR="00E85B6D">
        <w:t xml:space="preserve"> </w:t>
      </w:r>
      <w:r>
        <w:t>inch level, install device</w:t>
      </w:r>
      <w:r w:rsidR="00CE69C3">
        <w:t xml:space="preserve"> in the wall below the top edge of the wainscot and as near the 48</w:t>
      </w:r>
      <w:r w:rsidR="00E85B6D">
        <w:t xml:space="preserve"> </w:t>
      </w:r>
      <w:r w:rsidR="00CE69C3">
        <w:t>inch level as possible to provide the most pleasing appearance</w:t>
      </w:r>
      <w:r w:rsidR="00E85B6D">
        <w:t xml:space="preserve">. </w:t>
      </w:r>
      <w:r w:rsidR="00CE69C3">
        <w:t xml:space="preserve"> </w:t>
      </w:r>
      <w:r w:rsidR="00E85B6D">
        <w:t xml:space="preserve">Do not </w:t>
      </w:r>
      <w:r w:rsidR="00CE69C3">
        <w:t xml:space="preserve">partially </w:t>
      </w:r>
      <w:r w:rsidR="00E85B6D">
        <w:t xml:space="preserve">install devices </w:t>
      </w:r>
      <w:r w:rsidR="00CE69C3">
        <w:t>in the wainscot and partially in the wall.</w:t>
      </w:r>
    </w:p>
    <w:p w14:paraId="6707FD29" w14:textId="77777777" w:rsidR="00CE69C3" w:rsidRDefault="00CE69C3" w:rsidP="00197BBA">
      <w:pPr>
        <w:pStyle w:val="PR1"/>
      </w:pPr>
      <w:r>
        <w:t>Where shown the strike side of doors, install switches and dimmers not less than 2 inches and not more than 12 inches from door trim, but in all cases as close to the 2</w:t>
      </w:r>
      <w:r w:rsidR="00E85B6D">
        <w:t xml:space="preserve"> </w:t>
      </w:r>
      <w:r>
        <w:t>inch setback as possible.</w:t>
      </w:r>
    </w:p>
    <w:p w14:paraId="3887EEB4" w14:textId="77777777" w:rsidR="00CE69C3" w:rsidRDefault="00CE69C3" w:rsidP="00197BBA">
      <w:pPr>
        <w:pStyle w:val="PR1"/>
      </w:pPr>
      <w:r>
        <w:t>Verify all doors swings before rough-in and locate</w:t>
      </w:r>
      <w:r w:rsidR="00622B00">
        <w:t xml:space="preserve"> switches and dimmers on strike side of door wherever possible.</w:t>
      </w:r>
    </w:p>
    <w:p w14:paraId="51DD3CF1" w14:textId="77777777" w:rsidR="00622B00" w:rsidRDefault="00622B00" w:rsidP="00197BBA">
      <w:pPr>
        <w:pStyle w:val="PR1"/>
      </w:pPr>
      <w:r>
        <w:lastRenderedPageBreak/>
        <w:t>Position the center of convenience, telephone, computer and TV outlets 18 inches above floor or 8 inches above counter</w:t>
      </w:r>
      <w:r w:rsidR="00E85B6D">
        <w:t>top</w:t>
      </w:r>
      <w:r>
        <w:t xml:space="preserve">s unless otherwise noted.  Coordinate with equipment and architectural </w:t>
      </w:r>
      <w:r w:rsidR="007D4698">
        <w:t>Drawings</w:t>
      </w:r>
      <w:r>
        <w:t>.  Install outlets vertically on walls and horizontally above countertops.</w:t>
      </w:r>
    </w:p>
    <w:p w14:paraId="2F77C351" w14:textId="77777777" w:rsidR="00622B00" w:rsidRDefault="00622B00" w:rsidP="00197BBA">
      <w:pPr>
        <w:pStyle w:val="PR1"/>
      </w:pPr>
      <w:r>
        <w:t xml:space="preserve">Install specific-use receptacles at heights shown on </w:t>
      </w:r>
      <w:r w:rsidR="007D4698">
        <w:t>Drawings</w:t>
      </w:r>
      <w:r>
        <w:t>.</w:t>
      </w:r>
    </w:p>
    <w:p w14:paraId="208CC522" w14:textId="77777777" w:rsidR="008666CB" w:rsidRDefault="008666CB" w:rsidP="008666CB">
      <w:pPr>
        <w:pStyle w:val="PR1"/>
      </w:pPr>
      <w:r>
        <w:t>Install poke through devices per manufacturer requirements, including but not limited to:</w:t>
      </w:r>
    </w:p>
    <w:p w14:paraId="5373607F" w14:textId="77777777" w:rsidR="008666CB" w:rsidRDefault="008666CB" w:rsidP="00992E94">
      <w:pPr>
        <w:pStyle w:val="PR2"/>
      </w:pPr>
      <w:r>
        <w:t>UL requirements for maximum density in structural bays and minimum spacing between poke through devices.</w:t>
      </w:r>
    </w:p>
    <w:p w14:paraId="0C49DC5B" w14:textId="77777777" w:rsidR="008666CB" w:rsidRDefault="008666CB" w:rsidP="00992E94">
      <w:pPr>
        <w:pStyle w:val="PR2"/>
      </w:pPr>
      <w:r>
        <w:t xml:space="preserve">Final installation for all devices shall be ADA compliant. </w:t>
      </w:r>
    </w:p>
    <w:p w14:paraId="089737F9" w14:textId="77777777" w:rsidR="008666CB" w:rsidRDefault="008666CB" w:rsidP="00992E94">
      <w:pPr>
        <w:pStyle w:val="PR2"/>
      </w:pPr>
      <w:r>
        <w:t xml:space="preserve">Properly seal poke through devices where installed above non-conditioned spaces to minimize the passage of unconditioned air into the space through the poke through device. </w:t>
      </w:r>
    </w:p>
    <w:p w14:paraId="2C4B05AE" w14:textId="77777777" w:rsidR="008666CB" w:rsidRDefault="005109FC" w:rsidP="00992E94">
      <w:pPr>
        <w:pStyle w:val="PR2"/>
      </w:pPr>
      <w:r>
        <w:t>Device gangs not used by electrical, A/V and telecom shall remain blocked off for future use.</w:t>
      </w:r>
    </w:p>
    <w:p w14:paraId="55259CDB" w14:textId="77777777" w:rsidR="005109FC" w:rsidRDefault="005109FC" w:rsidP="00992E94">
      <w:pPr>
        <w:pStyle w:val="PR2"/>
      </w:pPr>
      <w:r>
        <w:t>Properly clean the inside of the poke through device.</w:t>
      </w:r>
    </w:p>
    <w:p w14:paraId="1EFF63B0" w14:textId="77777777" w:rsidR="005109FC" w:rsidRDefault="005109FC" w:rsidP="00992E94">
      <w:pPr>
        <w:pStyle w:val="PR2"/>
      </w:pPr>
      <w:r>
        <w:t xml:space="preserve">Properly label the devices installed within the poke through device. </w:t>
      </w:r>
    </w:p>
    <w:p w14:paraId="46A02084" w14:textId="77777777" w:rsidR="0069789E" w:rsidRDefault="0069789E">
      <w:pPr>
        <w:pStyle w:val="PR1"/>
      </w:pPr>
      <w:r>
        <w:t>Install occupancy sensors per manufacturer requirements.</w:t>
      </w:r>
    </w:p>
    <w:p w14:paraId="080C5008" w14:textId="77777777" w:rsidR="0069789E" w:rsidRDefault="0069789E">
      <w:pPr>
        <w:pStyle w:val="PR1"/>
      </w:pPr>
      <w:r>
        <w:t xml:space="preserve">Coordinate with owner representative and Engineer of Record for programming of sensors with regards to line of sight and programmed delay. </w:t>
      </w:r>
    </w:p>
    <w:p w14:paraId="5B6701D8" w14:textId="77777777" w:rsidR="0075026A" w:rsidRPr="0075026A" w:rsidRDefault="0075026A" w:rsidP="0075026A">
      <w:pPr>
        <w:pStyle w:val="ART"/>
        <w:numPr>
          <w:ilvl w:val="3"/>
          <w:numId w:val="2"/>
        </w:numPr>
        <w:rPr>
          <w:b/>
        </w:rPr>
      </w:pPr>
      <w:r w:rsidRPr="0075026A">
        <w:rPr>
          <w:b/>
        </w:rPr>
        <w:t>DEVICE PLATES</w:t>
      </w:r>
    </w:p>
    <w:p w14:paraId="19BEAB7D" w14:textId="77777777" w:rsidR="0075026A" w:rsidRDefault="0075026A" w:rsidP="0075026A">
      <w:pPr>
        <w:pStyle w:val="PR1"/>
      </w:pPr>
      <w:r>
        <w:t>Type.  Provide device plates for each outlet of the type required for service and device involved.  Plates shall be provided for telecom and A/V per those documents</w:t>
      </w:r>
    </w:p>
    <w:p w14:paraId="42C5A317" w14:textId="77777777" w:rsidR="0075026A" w:rsidRDefault="0075026A" w:rsidP="0075026A">
      <w:pPr>
        <w:pStyle w:val="PR1"/>
      </w:pPr>
      <w:r>
        <w:t>Ganged Devices.  Mount ganged devices under a single, one-piece device plate.</w:t>
      </w:r>
    </w:p>
    <w:p w14:paraId="330E8A8A" w14:textId="77777777" w:rsidR="0075026A" w:rsidRDefault="0075026A" w:rsidP="0075026A">
      <w:pPr>
        <w:pStyle w:val="PR1"/>
      </w:pPr>
      <w:r>
        <w:t>Workmanship. Install devices and device plates level, plumb, and parallel to adjacent surfaces or trim.  Devices shall be flush with the finished trim cover plates. Device plates shall be tight to surfaces over which they are installed.</w:t>
      </w:r>
    </w:p>
    <w:p w14:paraId="4FE59A29" w14:textId="77777777" w:rsidR="0075026A" w:rsidRDefault="0075026A" w:rsidP="0075026A">
      <w:pPr>
        <w:pStyle w:val="PR1"/>
      </w:pPr>
      <w:r>
        <w:t>Patching. Where cover plates do not completely conceal the rough openings for the devices, it shall be the responsibility of the Contractor to patch, paint, etc. around the opening to the satisfaction of the Owner's Representative.</w:t>
      </w:r>
    </w:p>
    <w:p w14:paraId="3658026B" w14:textId="77777777" w:rsidR="0075026A" w:rsidRDefault="0075026A" w:rsidP="0075026A">
      <w:pPr>
        <w:pStyle w:val="PR1"/>
      </w:pPr>
      <w:r>
        <w:t>Engraving.  Engrave plates with 1/8-inch-high black letters, if designated for engraving.</w:t>
      </w:r>
    </w:p>
    <w:p w14:paraId="69618F72" w14:textId="77777777" w:rsidR="0075026A" w:rsidRDefault="0075026A" w:rsidP="0075026A">
      <w:pPr>
        <w:pStyle w:val="PR1"/>
      </w:pPr>
      <w:r>
        <w:t>Labels. Where switches controlling devices that are out of sight, or where three or more switches are gang mounted, provide plates with labels to identify items being controlled, or areas being lighted.  Refer to Section 26 05 53 for Electrical Identification requirements.</w:t>
      </w:r>
    </w:p>
    <w:p w14:paraId="5EC8FAAE" w14:textId="77777777" w:rsidR="005D2221" w:rsidRDefault="000F3AE5">
      <w:pPr>
        <w:pStyle w:val="EndnoteText"/>
      </w:pPr>
      <w:r>
        <w:t xml:space="preserve">END OF SECTION </w:t>
      </w:r>
    </w:p>
    <w:sectPr w:rsidR="005D2221" w:rsidSect="00DE3529">
      <w:footerReference w:type="even" r:id="rId11"/>
      <w:footerReference w:type="default" r:id="rId12"/>
      <w:endnotePr>
        <w:numFmt w:val="decimal"/>
      </w:endnotePr>
      <w:pgSz w:w="12240" w:h="15840" w:code="1"/>
      <w:pgMar w:top="630" w:right="1440" w:bottom="1440" w:left="1440" w:header="720" w:footer="330" w:gutter="0"/>
      <w:pgNumType w:start="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D54C5" w14:textId="77777777" w:rsidR="008722ED" w:rsidRDefault="008722ED"/>
    <w:p w14:paraId="7289C14F" w14:textId="77777777" w:rsidR="008722ED" w:rsidRDefault="008722ED"/>
    <w:p w14:paraId="29C9F94C" w14:textId="77777777" w:rsidR="008722ED" w:rsidRDefault="008722ED"/>
    <w:p w14:paraId="446DAD5A" w14:textId="77777777" w:rsidR="008722ED" w:rsidRDefault="008722ED"/>
    <w:p w14:paraId="3EA0403E" w14:textId="77777777" w:rsidR="008722ED" w:rsidRDefault="008722ED"/>
  </w:endnote>
  <w:endnote w:type="continuationSeparator" w:id="0">
    <w:p w14:paraId="783F420E" w14:textId="77777777" w:rsidR="008722ED" w:rsidRDefault="008722ED">
      <w:r>
        <w:t xml:space="preserve"> </w:t>
      </w:r>
    </w:p>
    <w:p w14:paraId="2DD60E7F" w14:textId="77777777" w:rsidR="008722ED" w:rsidRDefault="008722ED"/>
    <w:p w14:paraId="07F6D7E9" w14:textId="77777777" w:rsidR="008722ED" w:rsidRDefault="008722ED"/>
    <w:p w14:paraId="23C5BAD8" w14:textId="77777777" w:rsidR="008722ED" w:rsidRDefault="008722ED"/>
    <w:p w14:paraId="739DC8F5" w14:textId="77777777" w:rsidR="008722ED" w:rsidRDefault="008722ED"/>
  </w:endnote>
  <w:endnote w:type="continuationNotice" w:id="1">
    <w:p w14:paraId="561245DE" w14:textId="77777777" w:rsidR="008722ED" w:rsidRDefault="008722ED">
      <w:r>
        <w:t xml:space="preserve"> </w:t>
      </w:r>
    </w:p>
    <w:p w14:paraId="160F437F" w14:textId="77777777" w:rsidR="008722ED" w:rsidRDefault="008722ED"/>
    <w:p w14:paraId="629D1D8D" w14:textId="77777777" w:rsidR="008722ED" w:rsidRDefault="008722ED"/>
    <w:p w14:paraId="40838FD3" w14:textId="77777777" w:rsidR="008722ED" w:rsidRDefault="008722ED"/>
    <w:p w14:paraId="1231772F" w14:textId="77777777" w:rsidR="008722ED" w:rsidRDefault="008722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rsEaves">
    <w:altName w:val="Calibri"/>
    <w:panose1 w:val="00000000000000000000"/>
    <w:charset w:val="00"/>
    <w:family w:val="modern"/>
    <w:notTrueType/>
    <w:pitch w:val="variable"/>
    <w:sig w:usb0="800000AF" w:usb1="50002048" w:usb2="00000000" w:usb3="00000000" w:csb0="00000111" w:csb1="00000000"/>
  </w:font>
  <w:font w:name="Mrs Eaves OT Bold">
    <w:altName w:val="Times New Roman"/>
    <w:charset w:val="00"/>
    <w:family w:val="auto"/>
    <w:pitch w:val="variable"/>
    <w:sig w:usb0="00000001" w:usb1="5000204A" w:usb2="00000000" w:usb3="00000000" w:csb0="00000009" w:csb1="00000000"/>
  </w:font>
  <w:font w:name="Mrs Eaves OT">
    <w:altName w:val="Calibri"/>
    <w:panose1 w:val="00000000000000000000"/>
    <w:charset w:val="00"/>
    <w:family w:val="modern"/>
    <w:notTrueType/>
    <w:pitch w:val="variable"/>
    <w:sig w:usb0="800000AF" w:usb1="5000207B"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330DB" w14:textId="77777777" w:rsidR="007B00C7" w:rsidRDefault="007B00C7" w:rsidP="00992E94">
    <w:pPr>
      <w:pStyle w:val="Footer"/>
    </w:pPr>
  </w:p>
  <w:p w14:paraId="06460453" w14:textId="77777777" w:rsidR="007B00C7" w:rsidRDefault="007B00C7" w:rsidP="00992E94">
    <w:pPr>
      <w:pStyle w:val="Footer"/>
    </w:pPr>
  </w:p>
  <w:p w14:paraId="4720918F" w14:textId="77777777" w:rsidR="00D62F54" w:rsidRDefault="00D62F54" w:rsidP="00992E94">
    <w:pPr>
      <w:pStyle w:val="Footer"/>
    </w:pPr>
    <w:r>
      <w:t>WIRING DEVICES</w:t>
    </w:r>
  </w:p>
  <w:p w14:paraId="477CF7A3" w14:textId="77777777" w:rsidR="00D62F54" w:rsidRDefault="00D62F54" w:rsidP="00992E94">
    <w:pPr>
      <w:pStyle w:val="Footer"/>
    </w:pPr>
    <w:r>
      <w:t>26 27 26</w:t>
    </w:r>
  </w:p>
  <w:p w14:paraId="2034F624" w14:textId="77777777" w:rsidR="00D62F54" w:rsidRDefault="00D62F54" w:rsidP="00992E94">
    <w:pPr>
      <w:pStyle w:val="Footer"/>
    </w:pPr>
    <w:r>
      <w:fldChar w:fldCharType="begin"/>
    </w:r>
    <w:r>
      <w:instrText xml:space="preserve"> PAGE   \* MERGEFORMAT </w:instrText>
    </w:r>
    <w:r>
      <w:fldChar w:fldCharType="separate"/>
    </w:r>
    <w:r w:rsidR="001D181F">
      <w:rPr>
        <w:noProof/>
      </w:rPr>
      <w:t>8</w:t>
    </w:r>
    <w:r>
      <w:rPr>
        <w:noProof/>
      </w:rPr>
      <w:fldChar w:fldCharType="end"/>
    </w:r>
    <w:r>
      <w:rPr>
        <w:noProof/>
      </w:rPr>
      <w:t xml:space="preserve"> OF </w:t>
    </w:r>
    <w:r w:rsidR="00DE3529">
      <w:rPr>
        <w:noProof/>
      </w:rPr>
      <w:t>8</w:t>
    </w:r>
  </w:p>
  <w:p w14:paraId="2AD39952" w14:textId="77777777" w:rsidR="00D62F54" w:rsidRDefault="00D62F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565A3" w14:textId="77777777" w:rsidR="00F60E84" w:rsidRDefault="00F60E84" w:rsidP="00D62F54">
    <w:pPr>
      <w:pStyle w:val="Footer"/>
      <w:jc w:val="right"/>
    </w:pPr>
  </w:p>
  <w:p w14:paraId="3A48DA75" w14:textId="77777777" w:rsidR="00D62F54" w:rsidRDefault="00D62F54" w:rsidP="00D62F54">
    <w:pPr>
      <w:pStyle w:val="Footer"/>
      <w:jc w:val="right"/>
    </w:pPr>
    <w:r>
      <w:t>WIRING DEVICES</w:t>
    </w:r>
  </w:p>
  <w:p w14:paraId="17F195D8" w14:textId="77777777" w:rsidR="00516AF7" w:rsidRDefault="00516AF7" w:rsidP="00992E94">
    <w:pPr>
      <w:pStyle w:val="Footer"/>
      <w:jc w:val="right"/>
    </w:pPr>
    <w:r>
      <w:t>26 27 26</w:t>
    </w:r>
  </w:p>
  <w:p w14:paraId="2A0E430E" w14:textId="77777777" w:rsidR="00332D6E" w:rsidRDefault="00516AF7" w:rsidP="00992E94">
    <w:pPr>
      <w:pStyle w:val="Footer"/>
      <w:jc w:val="right"/>
    </w:pPr>
    <w:r>
      <w:fldChar w:fldCharType="begin"/>
    </w:r>
    <w:r>
      <w:instrText xml:space="preserve"> PAGE   \* MERGEFORMAT </w:instrText>
    </w:r>
    <w:r>
      <w:fldChar w:fldCharType="separate"/>
    </w:r>
    <w:r w:rsidR="001D181F">
      <w:rPr>
        <w:noProof/>
      </w:rPr>
      <w:t>7</w:t>
    </w:r>
    <w:r>
      <w:rPr>
        <w:noProof/>
      </w:rPr>
      <w:fldChar w:fldCharType="end"/>
    </w:r>
    <w:r>
      <w:rPr>
        <w:noProof/>
      </w:rPr>
      <w:t xml:space="preserve"> OF </w:t>
    </w:r>
    <w:r w:rsidR="00DE3529">
      <w:rPr>
        <w:noProof/>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ABFC52" w14:textId="77777777" w:rsidR="008722ED" w:rsidRDefault="008722ED">
      <w:r>
        <w:separator/>
      </w:r>
    </w:p>
    <w:p w14:paraId="68FBADC1" w14:textId="77777777" w:rsidR="008722ED" w:rsidRDefault="008722ED"/>
    <w:p w14:paraId="1A45A865" w14:textId="77777777" w:rsidR="008722ED" w:rsidRDefault="008722ED"/>
    <w:p w14:paraId="7D59F804" w14:textId="77777777" w:rsidR="008722ED" w:rsidRDefault="008722ED"/>
    <w:p w14:paraId="7F8C9CAC" w14:textId="77777777" w:rsidR="008722ED" w:rsidRDefault="008722ED"/>
  </w:footnote>
  <w:footnote w:type="continuationSeparator" w:id="0">
    <w:p w14:paraId="11CC2058" w14:textId="77777777" w:rsidR="008722ED" w:rsidRDefault="008722ED">
      <w:r>
        <w:continuationSeparator/>
      </w:r>
    </w:p>
    <w:p w14:paraId="5F0184DE" w14:textId="77777777" w:rsidR="008722ED" w:rsidRDefault="008722ED"/>
    <w:p w14:paraId="58531BA1" w14:textId="77777777" w:rsidR="008722ED" w:rsidRDefault="008722ED"/>
    <w:p w14:paraId="0757C74F" w14:textId="77777777" w:rsidR="008722ED" w:rsidRDefault="008722ED"/>
    <w:p w14:paraId="4D85D0AE" w14:textId="77777777" w:rsidR="008722ED" w:rsidRDefault="008722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371A37EE"/>
    <w:lvl w:ilvl="0">
      <w:start w:val="1"/>
      <w:numFmt w:val="decimal"/>
      <w:pStyle w:val="PRT"/>
      <w:suff w:val="nothing"/>
      <w:lvlText w:val="PART %1 - "/>
      <w:lvlJc w:val="left"/>
      <w:pPr>
        <w:ind w:left="0" w:firstLine="0"/>
      </w:pPr>
      <w:rPr>
        <w:rFonts w:hint="default"/>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Zero"/>
      <w:pStyle w:val="ART"/>
      <w:lvlText w:val="%1.%4"/>
      <w:lvlJc w:val="left"/>
      <w:pPr>
        <w:tabs>
          <w:tab w:val="num" w:pos="864"/>
        </w:tabs>
        <w:ind w:left="864" w:hanging="864"/>
      </w:pPr>
      <w:rPr>
        <w:rFonts w:hint="default"/>
      </w:rPr>
    </w:lvl>
    <w:lvl w:ilvl="4">
      <w:start w:val="1"/>
      <w:numFmt w:val="upperLetter"/>
      <w:pStyle w:val="PR1"/>
      <w:lvlText w:val="%5."/>
      <w:lvlJc w:val="left"/>
      <w:pPr>
        <w:tabs>
          <w:tab w:val="num" w:pos="864"/>
        </w:tabs>
        <w:ind w:left="864" w:hanging="576"/>
      </w:pPr>
      <w:rPr>
        <w:rFonts w:hint="default"/>
      </w:rPr>
    </w:lvl>
    <w:lvl w:ilvl="5">
      <w:start w:val="1"/>
      <w:numFmt w:val="decimal"/>
      <w:pStyle w:val="PR2"/>
      <w:lvlText w:val="%6."/>
      <w:lvlJc w:val="left"/>
      <w:pPr>
        <w:tabs>
          <w:tab w:val="num" w:pos="1440"/>
        </w:tabs>
        <w:ind w:left="1440" w:hanging="576"/>
      </w:pPr>
      <w:rPr>
        <w:rFonts w:hint="default"/>
      </w:rPr>
    </w:lvl>
    <w:lvl w:ilvl="6">
      <w:start w:val="1"/>
      <w:numFmt w:val="lowerLetter"/>
      <w:pStyle w:val="PR3"/>
      <w:lvlText w:val="%7."/>
      <w:lvlJc w:val="left"/>
      <w:pPr>
        <w:tabs>
          <w:tab w:val="num" w:pos="2016"/>
        </w:tabs>
        <w:ind w:left="2016" w:hanging="576"/>
      </w:pPr>
      <w:rPr>
        <w:rFonts w:hint="default"/>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num w:numId="1">
    <w:abstractNumId w:val="0"/>
  </w:num>
  <w:num w:numId="2">
    <w:abstractNumId w:val="0"/>
    <w:lvlOverride w:ilvl="0">
      <w:lvl w:ilvl="0">
        <w:start w:val="1"/>
        <w:numFmt w:val="decimal"/>
        <w:pStyle w:val="PRT"/>
        <w:suff w:val="nothing"/>
        <w:lvlText w:val="PART %1 - "/>
        <w:lvlJc w:val="left"/>
        <w:pPr>
          <w:ind w:left="0" w:firstLine="0"/>
        </w:pPr>
        <w:rPr>
          <w:rFonts w:hint="default"/>
        </w:rPr>
      </w:lvl>
    </w:lvlOverride>
    <w:lvlOverride w:ilvl="1">
      <w:lvl w:ilvl="1">
        <w:numFmt w:val="decimal"/>
        <w:suff w:val="nothing"/>
        <w:lvlText w:val="SCHEDULE %2 - "/>
        <w:lvlJc w:val="left"/>
        <w:pPr>
          <w:ind w:left="0" w:firstLine="0"/>
        </w:pPr>
        <w:rPr>
          <w:rFonts w:hint="default"/>
        </w:rPr>
      </w:lvl>
    </w:lvlOverride>
    <w:lvlOverride w:ilvl="2">
      <w:lvl w:ilvl="2">
        <w:numFmt w:val="decimal"/>
        <w:suff w:val="nothing"/>
        <w:lvlText w:val="PRODUCT DATA SHEET %3 - "/>
        <w:lvlJc w:val="left"/>
        <w:pPr>
          <w:ind w:left="0" w:firstLine="0"/>
        </w:pPr>
        <w:rPr>
          <w:rFonts w:hint="default"/>
        </w:rPr>
      </w:lvl>
    </w:lvlOverride>
    <w:lvlOverride w:ilvl="3">
      <w:lvl w:ilvl="3">
        <w:start w:val="1"/>
        <w:numFmt w:val="decimal"/>
        <w:pStyle w:val="ART"/>
        <w:lvlText w:val="%1.%4"/>
        <w:lvlJc w:val="left"/>
        <w:pPr>
          <w:tabs>
            <w:tab w:val="num" w:pos="864"/>
          </w:tabs>
          <w:ind w:left="864" w:hanging="864"/>
        </w:pPr>
        <w:rPr>
          <w:rFonts w:hint="default"/>
          <w:b/>
        </w:rPr>
      </w:lvl>
    </w:lvlOverride>
    <w:lvlOverride w:ilvl="4">
      <w:lvl w:ilvl="4">
        <w:start w:val="1"/>
        <w:numFmt w:val="upperLetter"/>
        <w:pStyle w:val="PR1"/>
        <w:lvlText w:val="%5."/>
        <w:lvlJc w:val="left"/>
        <w:pPr>
          <w:tabs>
            <w:tab w:val="num" w:pos="864"/>
          </w:tabs>
          <w:ind w:left="864" w:hanging="576"/>
        </w:pPr>
        <w:rPr>
          <w:rFonts w:hint="default"/>
          <w:b w:val="0"/>
        </w:rPr>
      </w:lvl>
    </w:lvlOverride>
    <w:lvlOverride w:ilvl="5">
      <w:lvl w:ilvl="5">
        <w:start w:val="1"/>
        <w:numFmt w:val="decimal"/>
        <w:pStyle w:val="PR2"/>
        <w:lvlText w:val="%6."/>
        <w:lvlJc w:val="left"/>
        <w:pPr>
          <w:tabs>
            <w:tab w:val="num" w:pos="1440"/>
          </w:tabs>
          <w:ind w:left="1440" w:hanging="576"/>
        </w:pPr>
        <w:rPr>
          <w:rFonts w:hint="default"/>
        </w:rPr>
      </w:lvl>
    </w:lvlOverride>
    <w:lvlOverride w:ilvl="6">
      <w:lvl w:ilvl="6">
        <w:start w:val="1"/>
        <w:numFmt w:val="lowerLetter"/>
        <w:pStyle w:val="PR3"/>
        <w:lvlText w:val="%7."/>
        <w:lvlJc w:val="left"/>
        <w:pPr>
          <w:tabs>
            <w:tab w:val="num" w:pos="2016"/>
          </w:tabs>
          <w:ind w:left="2016" w:hanging="576"/>
        </w:pPr>
        <w:rPr>
          <w:rFonts w:hint="default"/>
        </w:rPr>
      </w:lvl>
    </w:lvlOverride>
    <w:lvlOverride w:ilvl="7">
      <w:lvl w:ilvl="7">
        <w:start w:val="1"/>
        <w:numFmt w:val="decimal"/>
        <w:pStyle w:val="PR4"/>
        <w:lvlText w:val="%8)"/>
        <w:lvlJc w:val="left"/>
        <w:pPr>
          <w:tabs>
            <w:tab w:val="num" w:pos="2592"/>
          </w:tabs>
          <w:ind w:left="2592" w:hanging="576"/>
        </w:pPr>
        <w:rPr>
          <w:rFonts w:hint="default"/>
        </w:rPr>
      </w:lvl>
    </w:lvlOverride>
    <w:lvlOverride w:ilvl="8">
      <w:lvl w:ilvl="8">
        <w:start w:val="1"/>
        <w:numFmt w:val="lowerLetter"/>
        <w:pStyle w:val="PR5"/>
        <w:lvlText w:val="%9)"/>
        <w:lvlJc w:val="left"/>
        <w:pPr>
          <w:tabs>
            <w:tab w:val="num" w:pos="3168"/>
          </w:tabs>
          <w:ind w:left="3168" w:hanging="576"/>
        </w:pPr>
        <w:rPr>
          <w:rFonts w:hint="default"/>
        </w:rPr>
      </w:lvl>
    </w:lvlOverride>
  </w:num>
  <w:num w:numId="3">
    <w:abstractNumId w:val="0"/>
  </w:num>
  <w:num w:numId="4">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360"/>
  <w:hyphenationZone w:val="950"/>
  <w:doNotHyphenateCaps/>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5049"/>
    <w:rsid w:val="000159ED"/>
    <w:rsid w:val="00034CC8"/>
    <w:rsid w:val="00082363"/>
    <w:rsid w:val="000C4793"/>
    <w:rsid w:val="000D7CB8"/>
    <w:rsid w:val="000F3AE5"/>
    <w:rsid w:val="001308B4"/>
    <w:rsid w:val="00134F12"/>
    <w:rsid w:val="0016286B"/>
    <w:rsid w:val="0016333A"/>
    <w:rsid w:val="00197BBA"/>
    <w:rsid w:val="001B0ECB"/>
    <w:rsid w:val="001C39C3"/>
    <w:rsid w:val="001D181F"/>
    <w:rsid w:val="001D3B79"/>
    <w:rsid w:val="001F22F5"/>
    <w:rsid w:val="00234F9B"/>
    <w:rsid w:val="00235876"/>
    <w:rsid w:val="002368CA"/>
    <w:rsid w:val="00283F89"/>
    <w:rsid w:val="002B19F9"/>
    <w:rsid w:val="002C1A90"/>
    <w:rsid w:val="003134EF"/>
    <w:rsid w:val="00327A1A"/>
    <w:rsid w:val="00332D6E"/>
    <w:rsid w:val="003A3568"/>
    <w:rsid w:val="003D21C9"/>
    <w:rsid w:val="00425105"/>
    <w:rsid w:val="00441510"/>
    <w:rsid w:val="00475842"/>
    <w:rsid w:val="00480C7E"/>
    <w:rsid w:val="004B6BCD"/>
    <w:rsid w:val="004C63AC"/>
    <w:rsid w:val="004E0213"/>
    <w:rsid w:val="004E705D"/>
    <w:rsid w:val="00502025"/>
    <w:rsid w:val="005109FC"/>
    <w:rsid w:val="00516AF7"/>
    <w:rsid w:val="00534768"/>
    <w:rsid w:val="005819EF"/>
    <w:rsid w:val="005965C5"/>
    <w:rsid w:val="00597747"/>
    <w:rsid w:val="005D2221"/>
    <w:rsid w:val="005E535C"/>
    <w:rsid w:val="006227BE"/>
    <w:rsid w:val="00622B00"/>
    <w:rsid w:val="00642CFC"/>
    <w:rsid w:val="006509B6"/>
    <w:rsid w:val="0069789E"/>
    <w:rsid w:val="00697EF3"/>
    <w:rsid w:val="006A5A6F"/>
    <w:rsid w:val="006D2DCF"/>
    <w:rsid w:val="006F15BA"/>
    <w:rsid w:val="0070663B"/>
    <w:rsid w:val="00721EB2"/>
    <w:rsid w:val="00740427"/>
    <w:rsid w:val="007405DC"/>
    <w:rsid w:val="0075026A"/>
    <w:rsid w:val="007845BC"/>
    <w:rsid w:val="007850E9"/>
    <w:rsid w:val="007B00C7"/>
    <w:rsid w:val="007B7CF9"/>
    <w:rsid w:val="007D4698"/>
    <w:rsid w:val="007D6A60"/>
    <w:rsid w:val="007F78B2"/>
    <w:rsid w:val="008106A9"/>
    <w:rsid w:val="00810B5A"/>
    <w:rsid w:val="008517D4"/>
    <w:rsid w:val="00864B93"/>
    <w:rsid w:val="008666CB"/>
    <w:rsid w:val="008722ED"/>
    <w:rsid w:val="0088438A"/>
    <w:rsid w:val="00895DA4"/>
    <w:rsid w:val="00927920"/>
    <w:rsid w:val="0094780B"/>
    <w:rsid w:val="00992E94"/>
    <w:rsid w:val="00996B62"/>
    <w:rsid w:val="009F2B30"/>
    <w:rsid w:val="00A157DE"/>
    <w:rsid w:val="00A55049"/>
    <w:rsid w:val="00A736F8"/>
    <w:rsid w:val="00AA498D"/>
    <w:rsid w:val="00AE1B1B"/>
    <w:rsid w:val="00AF58BB"/>
    <w:rsid w:val="00AF7C30"/>
    <w:rsid w:val="00B309D1"/>
    <w:rsid w:val="00B30F24"/>
    <w:rsid w:val="00B51821"/>
    <w:rsid w:val="00B55158"/>
    <w:rsid w:val="00B812D5"/>
    <w:rsid w:val="00B85AF2"/>
    <w:rsid w:val="00BC3AD7"/>
    <w:rsid w:val="00BC3E68"/>
    <w:rsid w:val="00BF2065"/>
    <w:rsid w:val="00BF39DA"/>
    <w:rsid w:val="00C1571F"/>
    <w:rsid w:val="00C370ED"/>
    <w:rsid w:val="00C4449F"/>
    <w:rsid w:val="00C517EB"/>
    <w:rsid w:val="00C62921"/>
    <w:rsid w:val="00C80AB8"/>
    <w:rsid w:val="00CC1E4D"/>
    <w:rsid w:val="00CE078B"/>
    <w:rsid w:val="00CE69C3"/>
    <w:rsid w:val="00CE7C11"/>
    <w:rsid w:val="00CF28BF"/>
    <w:rsid w:val="00D2343F"/>
    <w:rsid w:val="00D62F54"/>
    <w:rsid w:val="00DD14AE"/>
    <w:rsid w:val="00DE3529"/>
    <w:rsid w:val="00DE7F2D"/>
    <w:rsid w:val="00E12B15"/>
    <w:rsid w:val="00E271E5"/>
    <w:rsid w:val="00E455FC"/>
    <w:rsid w:val="00E85B6D"/>
    <w:rsid w:val="00E86E3B"/>
    <w:rsid w:val="00E905BF"/>
    <w:rsid w:val="00EF39EB"/>
    <w:rsid w:val="00EF53FA"/>
    <w:rsid w:val="00F00145"/>
    <w:rsid w:val="00F06662"/>
    <w:rsid w:val="00F23329"/>
    <w:rsid w:val="00F5555E"/>
    <w:rsid w:val="00F60E84"/>
    <w:rsid w:val="00F8111C"/>
    <w:rsid w:val="00FB0D4F"/>
    <w:rsid w:val="00FB6AFE"/>
    <w:rsid w:val="00FE3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44C032FD"/>
  <w15:docId w15:val="{B000CE9B-7617-4F23-A23E-FA3004C1E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7BBA"/>
    <w:pPr>
      <w:widowControl w:val="0"/>
    </w:pPr>
    <w:rPr>
      <w:rFonts w:ascii="Arial" w:hAnsi="Arial"/>
      <w:bCs/>
      <w:iCs/>
    </w:rPr>
  </w:style>
  <w:style w:type="paragraph" w:styleId="Heading1">
    <w:name w:val="heading 1"/>
    <w:basedOn w:val="Normal"/>
    <w:next w:val="Normal"/>
    <w:autoRedefine/>
    <w:qFormat/>
    <w:pPr>
      <w:keepNext/>
      <w:spacing w:before="240" w:after="60"/>
      <w:ind w:left="288"/>
      <w:outlineLvl w:val="0"/>
    </w:pPr>
    <w:rPr>
      <w:rFonts w:cs="Arial"/>
      <w:bCs w:val="0"/>
      <w:caps/>
      <w:kern w:val="32"/>
      <w:sz w:val="24"/>
      <w:szCs w:val="32"/>
    </w:rPr>
  </w:style>
  <w:style w:type="paragraph" w:styleId="Heading2">
    <w:name w:val="heading 2"/>
    <w:basedOn w:val="Normal"/>
    <w:next w:val="Normal"/>
    <w:autoRedefine/>
    <w:qFormat/>
    <w:pPr>
      <w:keepNext/>
      <w:widowControl/>
      <w:tabs>
        <w:tab w:val="left" w:pos="6480"/>
      </w:tabs>
      <w:ind w:left="288"/>
      <w:outlineLvl w:val="1"/>
    </w:pPr>
    <w:rPr>
      <w:b/>
      <w:caps/>
      <w:sz w:val="24"/>
    </w:rPr>
  </w:style>
  <w:style w:type="paragraph" w:styleId="Heading3">
    <w:name w:val="heading 3"/>
    <w:basedOn w:val="Normal"/>
    <w:next w:val="Normal"/>
    <w:autoRedefine/>
    <w:qFormat/>
    <w:pPr>
      <w:keepNext/>
      <w:widowControl/>
      <w:tabs>
        <w:tab w:val="left" w:pos="360"/>
        <w:tab w:val="right" w:leader="dot" w:pos="8467"/>
      </w:tabs>
      <w:ind w:left="288"/>
      <w:outlineLvl w:val="2"/>
    </w:pPr>
    <w:rPr>
      <w:b/>
      <w:caps/>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aliases w:val="EOS"/>
    <w:basedOn w:val="Normal"/>
    <w:autoRedefine/>
    <w:semiHidden/>
    <w:pPr>
      <w:widowControl/>
      <w:spacing w:before="400"/>
      <w:jc w:val="center"/>
    </w:pPr>
    <w:rPr>
      <w:b/>
      <w:caps/>
    </w:rPr>
  </w:style>
  <w:style w:type="paragraph" w:styleId="TOC9">
    <w:name w:val="toc 9"/>
    <w:basedOn w:val="Normal"/>
    <w:next w:val="Normal"/>
    <w:autoRedefine/>
    <w:semiHidden/>
    <w:pPr>
      <w:ind w:left="1760"/>
    </w:pPr>
  </w:style>
  <w:style w:type="paragraph" w:styleId="FootnoteText">
    <w:name w:val="footnote text"/>
    <w:aliases w:val="Foot Title"/>
    <w:basedOn w:val="Normal"/>
    <w:autoRedefine/>
    <w:semiHidden/>
    <w:rPr>
      <w:caps/>
    </w:rPr>
  </w:style>
  <w:style w:type="paragraph" w:customStyle="1" w:styleId="p9">
    <w:name w:val="p9"/>
    <w:basedOn w:val="Normal"/>
    <w:rsid w:val="00FE3CDA"/>
    <w:pPr>
      <w:widowControl/>
      <w:tabs>
        <w:tab w:val="left" w:pos="700"/>
        <w:tab w:val="left" w:pos="1160"/>
      </w:tabs>
      <w:spacing w:line="360" w:lineRule="atLeast"/>
      <w:ind w:left="288" w:hanging="432"/>
    </w:pPr>
    <w:rPr>
      <w:rFonts w:ascii="Times New Roman" w:hAnsi="Times New Roman"/>
      <w:bCs w:val="0"/>
      <w:iCs w:val="0"/>
      <w:sz w:val="24"/>
    </w:rPr>
  </w:style>
  <w:style w:type="paragraph" w:styleId="Header">
    <w:name w:val="header"/>
    <w:aliases w:val="Head Project"/>
    <w:basedOn w:val="Normal"/>
    <w:link w:val="HeaderChar"/>
    <w:autoRedefine/>
    <w:uiPriority w:val="99"/>
    <w:pPr>
      <w:tabs>
        <w:tab w:val="center" w:pos="4320"/>
        <w:tab w:val="right" w:pos="8640"/>
      </w:tabs>
    </w:pPr>
    <w:rPr>
      <w:caps/>
    </w:rPr>
  </w:style>
  <w:style w:type="paragraph" w:styleId="Footer">
    <w:name w:val="footer"/>
    <w:basedOn w:val="Normal"/>
    <w:link w:val="FooterChar"/>
    <w:uiPriority w:val="99"/>
    <w:pPr>
      <w:tabs>
        <w:tab w:val="center" w:pos="4320"/>
        <w:tab w:val="right" w:pos="8640"/>
      </w:tabs>
    </w:pPr>
  </w:style>
  <w:style w:type="paragraph" w:customStyle="1" w:styleId="PRT">
    <w:name w:val="PRT"/>
    <w:basedOn w:val="Normal"/>
    <w:next w:val="Normal"/>
    <w:pPr>
      <w:keepNext/>
      <w:widowControl/>
      <w:numPr>
        <w:numId w:val="1"/>
      </w:numPr>
      <w:spacing w:before="200" w:after="200"/>
      <w:jc w:val="both"/>
    </w:pPr>
    <w:rPr>
      <w:b/>
    </w:rPr>
  </w:style>
  <w:style w:type="paragraph" w:customStyle="1" w:styleId="Title1">
    <w:name w:val="Title1"/>
    <w:basedOn w:val="Normal"/>
    <w:autoRedefine/>
    <w:rPr>
      <w:b/>
      <w:caps/>
    </w:rPr>
  </w:style>
  <w:style w:type="paragraph" w:customStyle="1" w:styleId="PR1">
    <w:name w:val="PR1"/>
    <w:basedOn w:val="Normal"/>
    <w:rsid w:val="00197BBA"/>
    <w:pPr>
      <w:keepLines/>
      <w:widowControl/>
      <w:numPr>
        <w:ilvl w:val="4"/>
        <w:numId w:val="1"/>
      </w:numPr>
      <w:spacing w:after="200"/>
      <w:jc w:val="both"/>
    </w:pPr>
  </w:style>
  <w:style w:type="paragraph" w:customStyle="1" w:styleId="ART">
    <w:name w:val="ART"/>
    <w:basedOn w:val="Normal"/>
    <w:next w:val="PR1"/>
    <w:rsid w:val="00197BBA"/>
    <w:pPr>
      <w:keepNext/>
      <w:widowControl/>
      <w:numPr>
        <w:ilvl w:val="3"/>
        <w:numId w:val="1"/>
      </w:numPr>
      <w:spacing w:after="200"/>
      <w:jc w:val="both"/>
    </w:pPr>
    <w:rPr>
      <w:caps/>
    </w:rPr>
  </w:style>
  <w:style w:type="paragraph" w:customStyle="1" w:styleId="PR2">
    <w:name w:val="PR2"/>
    <w:basedOn w:val="Normal"/>
    <w:pPr>
      <w:keepLines/>
      <w:widowControl/>
      <w:numPr>
        <w:ilvl w:val="5"/>
        <w:numId w:val="1"/>
      </w:numPr>
      <w:spacing w:after="200"/>
      <w:jc w:val="both"/>
    </w:pPr>
    <w:rPr>
      <w:bCs w:val="0"/>
    </w:rPr>
  </w:style>
  <w:style w:type="paragraph" w:customStyle="1" w:styleId="PR3">
    <w:name w:val="PR3"/>
    <w:basedOn w:val="Normal"/>
    <w:autoRedefine/>
    <w:pPr>
      <w:keepLines/>
      <w:widowControl/>
      <w:numPr>
        <w:ilvl w:val="6"/>
        <w:numId w:val="1"/>
      </w:numPr>
      <w:spacing w:after="200"/>
      <w:jc w:val="both"/>
    </w:pPr>
    <w:rPr>
      <w:bCs w:val="0"/>
    </w:rPr>
  </w:style>
  <w:style w:type="paragraph" w:customStyle="1" w:styleId="PR4">
    <w:name w:val="PR4"/>
    <w:basedOn w:val="Normal"/>
    <w:autoRedefine/>
    <w:pPr>
      <w:keepLines/>
      <w:widowControl/>
      <w:numPr>
        <w:ilvl w:val="7"/>
        <w:numId w:val="1"/>
      </w:numPr>
      <w:spacing w:after="200"/>
      <w:jc w:val="both"/>
    </w:pPr>
    <w:rPr>
      <w:bCs w:val="0"/>
    </w:rPr>
  </w:style>
  <w:style w:type="paragraph" w:customStyle="1" w:styleId="PR5">
    <w:name w:val="PR5"/>
    <w:basedOn w:val="Normal"/>
    <w:autoRedefine/>
    <w:pPr>
      <w:keepLines/>
      <w:widowControl/>
      <w:numPr>
        <w:ilvl w:val="8"/>
        <w:numId w:val="1"/>
      </w:numPr>
      <w:spacing w:after="200"/>
      <w:jc w:val="both"/>
    </w:pPr>
    <w:rPr>
      <w:bCs w:val="0"/>
    </w:rPr>
  </w:style>
  <w:style w:type="paragraph" w:customStyle="1" w:styleId="CMT">
    <w:name w:val="CMT"/>
    <w:basedOn w:val="Normal"/>
    <w:autoRedefine/>
    <w:rsid w:val="00516AF7"/>
    <w:pPr>
      <w:keepNext/>
      <w:widowControl/>
      <w:spacing w:before="200" w:after="200"/>
    </w:pPr>
    <w:rPr>
      <w:b/>
      <w:caps/>
    </w:rPr>
  </w:style>
  <w:style w:type="table" w:styleId="TableGrid">
    <w:name w:val="Table Grid"/>
    <w:basedOn w:val="TableNormal"/>
    <w:rsid w:val="0047584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0D7CB8"/>
    <w:rPr>
      <w:rFonts w:ascii="Tahoma" w:hAnsi="Tahoma"/>
      <w:sz w:val="16"/>
      <w:szCs w:val="16"/>
      <w:lang w:val="x-none" w:eastAsia="x-none"/>
    </w:rPr>
  </w:style>
  <w:style w:type="character" w:customStyle="1" w:styleId="BalloonTextChar">
    <w:name w:val="Balloon Text Char"/>
    <w:link w:val="BalloonText"/>
    <w:rsid w:val="000D7CB8"/>
    <w:rPr>
      <w:rFonts w:ascii="Tahoma" w:hAnsi="Tahoma" w:cs="Tahoma"/>
      <w:bCs/>
      <w:iCs/>
      <w:sz w:val="16"/>
      <w:szCs w:val="16"/>
    </w:rPr>
  </w:style>
  <w:style w:type="character" w:customStyle="1" w:styleId="FooterChar">
    <w:name w:val="Footer Char"/>
    <w:link w:val="Footer"/>
    <w:uiPriority w:val="99"/>
    <w:rsid w:val="00516AF7"/>
    <w:rPr>
      <w:rFonts w:ascii="Arial" w:hAnsi="Arial"/>
      <w:bCs/>
      <w:iCs/>
    </w:rPr>
  </w:style>
  <w:style w:type="character" w:customStyle="1" w:styleId="HeaderChar">
    <w:name w:val="Header Char"/>
    <w:aliases w:val="Head Project Char"/>
    <w:basedOn w:val="DefaultParagraphFont"/>
    <w:link w:val="Header"/>
    <w:uiPriority w:val="99"/>
    <w:rsid w:val="00DE3529"/>
    <w:rPr>
      <w:rFonts w:ascii="Arial" w:hAnsi="Arial"/>
      <w:bCs/>
      <w:iCs/>
      <w:caps/>
    </w:rPr>
  </w:style>
  <w:style w:type="paragraph" w:styleId="BodyText">
    <w:name w:val="Body Text"/>
    <w:basedOn w:val="Normal"/>
    <w:link w:val="BodyTextChar"/>
    <w:rsid w:val="00DE3529"/>
    <w:pPr>
      <w:widowControl/>
      <w:tabs>
        <w:tab w:val="left" w:pos="720"/>
        <w:tab w:val="left" w:pos="1296"/>
        <w:tab w:val="left" w:pos="1872"/>
        <w:tab w:val="left" w:pos="2448"/>
        <w:tab w:val="left" w:pos="3024"/>
        <w:tab w:val="left" w:pos="3600"/>
        <w:tab w:val="left" w:pos="4176"/>
        <w:tab w:val="left" w:pos="4752"/>
        <w:tab w:val="left" w:pos="5328"/>
        <w:tab w:val="left" w:pos="5904"/>
        <w:tab w:val="left" w:pos="6480"/>
        <w:tab w:val="left" w:pos="7056"/>
        <w:tab w:val="left" w:pos="7632"/>
        <w:tab w:val="left" w:pos="8208"/>
        <w:tab w:val="left" w:pos="8784"/>
        <w:tab w:val="left" w:pos="9180"/>
      </w:tabs>
      <w:jc w:val="both"/>
    </w:pPr>
    <w:rPr>
      <w:rFonts w:ascii="Helvetica" w:hAnsi="Helvetica"/>
      <w:bCs w:val="0"/>
      <w:i/>
      <w:iCs w:val="0"/>
    </w:rPr>
  </w:style>
  <w:style w:type="character" w:customStyle="1" w:styleId="BodyTextChar">
    <w:name w:val="Body Text Char"/>
    <w:basedOn w:val="DefaultParagraphFont"/>
    <w:link w:val="BodyText"/>
    <w:rsid w:val="00DE3529"/>
    <w:rPr>
      <w:rFonts w:ascii="Helvetica" w:hAnsi="Helvetica"/>
      <w:i/>
    </w:rPr>
  </w:style>
  <w:style w:type="table" w:customStyle="1" w:styleId="TableGrid1">
    <w:name w:val="Table Grid1"/>
    <w:basedOn w:val="TableNormal"/>
    <w:next w:val="TableGrid"/>
    <w:uiPriority w:val="59"/>
    <w:rsid w:val="00DE352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D88569.54DD9E2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597BD-BA6E-4485-9250-2E0A8020F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3175</Words>
  <Characters>18103</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Wiring Devices</vt:lpstr>
    </vt:vector>
  </TitlesOfParts>
  <Manager>CAPITAL PLANNING AND MANAGEMENT</Manager>
  <Company>UT MD ANDERSON CANCER CENTER</Company>
  <LinksUpToDate>false</LinksUpToDate>
  <CharactersWithSpaces>21236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Wiring Devices</dc:title>
  <dc:creator>DOSpain</dc:creator>
  <dc:description>ALTERATION OF THIS OFFICIAL DOCUMENT IS PROHIBITED WITHOUT EXPRESS WRITTEN PERMISSION BY OFFICE OF CAPITAL PLANNING AND MANAGEMENT AT UT MD ANDERSON CANCER CENTER.</dc:description>
  <cp:lastModifiedBy>Murtishaw, Robin L</cp:lastModifiedBy>
  <cp:revision>8</cp:revision>
  <cp:lastPrinted>2014-02-10T19:49:00Z</cp:lastPrinted>
  <dcterms:created xsi:type="dcterms:W3CDTF">2017-06-07T19:36:00Z</dcterms:created>
  <dcterms:modified xsi:type="dcterms:W3CDTF">2023-06-30T14:02:00Z</dcterms:modified>
</cp:coreProperties>
</file>