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61425890"/>
        <w:docPartObj>
          <w:docPartGallery w:val="Cover Pages"/>
          <w:docPartUnique/>
        </w:docPartObj>
      </w:sdtPr>
      <w:sdtEndPr>
        <w:rPr>
          <w:rFonts w:cs="Arial"/>
          <w:b/>
          <w:szCs w:val="20"/>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E38EA" w:rsidRPr="00353FF9" w:rsidTr="00717FBA">
            <w:trPr>
              <w:trHeight w:val="835"/>
            </w:trPr>
            <w:tc>
              <w:tcPr>
                <w:tcW w:w="6625" w:type="dxa"/>
              </w:tcPr>
              <w:p w:rsidR="00DE38EA" w:rsidRPr="00353FF9" w:rsidRDefault="00C13673"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DE38EA" w:rsidRPr="00353FF9" w:rsidRDefault="00DE38EA"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4A5172E"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DE38EA" w:rsidRPr="00353FF9" w:rsidRDefault="00DE38EA"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C13673">
                  <w:rPr>
                    <w:rFonts w:ascii="MrsEaves" w:hAnsi="MrsEaves"/>
                    <w:b/>
                    <w:color w:val="1F497D" w:themeColor="text2"/>
                    <w:sz w:val="18"/>
                    <w:szCs w:val="18"/>
                  </w:rPr>
                  <w:t>Engineering</w:t>
                </w:r>
              </w:p>
              <w:p w:rsidR="00DE38EA" w:rsidRPr="00353FF9" w:rsidRDefault="00C13673"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DE38EA" w:rsidRPr="00353FF9" w:rsidRDefault="00C13673"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E38EA" w:rsidRPr="00353FF9">
                  <w:rPr>
                    <w:rFonts w:ascii="MrsEaves" w:hAnsi="MrsEaves"/>
                    <w:color w:val="000000" w:themeColor="text1"/>
                    <w:sz w:val="16"/>
                    <w:szCs w:val="16"/>
                  </w:rPr>
                  <w:t>, Texas 7</w:t>
                </w:r>
                <w:r>
                  <w:rPr>
                    <w:rFonts w:ascii="MrsEaves" w:hAnsi="MrsEaves"/>
                    <w:color w:val="000000" w:themeColor="text1"/>
                    <w:sz w:val="16"/>
                    <w:szCs w:val="16"/>
                  </w:rPr>
                  <w:t>7830</w:t>
                </w:r>
              </w:p>
              <w:p w:rsidR="00DE38EA" w:rsidRPr="00C13673" w:rsidRDefault="00C13673" w:rsidP="00353FF9">
                <w:pPr>
                  <w:tabs>
                    <w:tab w:val="center" w:pos="4680"/>
                    <w:tab w:val="right" w:pos="9360"/>
                  </w:tabs>
                  <w:rPr>
                    <w:b/>
                    <w:smallCaps/>
                    <w:color w:val="DF6427"/>
                    <w:sz w:val="16"/>
                    <w:szCs w:val="16"/>
                  </w:rPr>
                </w:pPr>
                <w:r w:rsidRPr="00C13673">
                  <w:rPr>
                    <w:rFonts w:ascii="Mrs Eaves OT Bold" w:hAnsi="Mrs Eaves OT Bold"/>
                    <w:b/>
                    <w:smallCaps/>
                    <w:color w:val="984806" w:themeColor="accent6" w:themeShade="80"/>
                    <w:sz w:val="16"/>
                    <w:szCs w:val="16"/>
                  </w:rPr>
                  <w:t>www.uth.edu</w:t>
                </w:r>
              </w:p>
            </w:tc>
          </w:tr>
        </w:tbl>
        <w:p w:rsidR="00DE38EA" w:rsidRDefault="00DE38EA">
          <w:pPr>
            <w:rPr>
              <w:rFonts w:ascii="Times New Roman" w:hAnsi="Times New Roman"/>
            </w:rPr>
          </w:pPr>
        </w:p>
        <w:p w:rsidR="00DE38EA" w:rsidRDefault="00DE38EA" w:rsidP="00F05665">
          <w:pPr>
            <w:tabs>
              <w:tab w:val="left" w:pos="7685"/>
            </w:tabs>
          </w:pPr>
        </w:p>
        <w:p w:rsidR="00DE38EA" w:rsidRDefault="00DE38EA" w:rsidP="00F05665">
          <w:pPr>
            <w:tabs>
              <w:tab w:val="left" w:pos="7685"/>
            </w:tabs>
          </w:pPr>
        </w:p>
        <w:p w:rsidR="00DE38EA" w:rsidRDefault="00C13673" w:rsidP="009E6D1F">
          <w:pPr>
            <w:widowControl w:val="0"/>
            <w:spacing w:before="120"/>
            <w:jc w:val="center"/>
            <w:rPr>
              <w:rFonts w:cs="Arial"/>
              <w:b/>
              <w:i/>
              <w:color w:val="800000"/>
              <w:sz w:val="36"/>
            </w:rPr>
          </w:pPr>
          <w:r>
            <w:rPr>
              <w:rFonts w:cs="Arial"/>
              <w:b/>
              <w:i/>
              <w:color w:val="800000"/>
              <w:sz w:val="36"/>
            </w:rPr>
            <w:t>UTHealth FPE</w:t>
          </w:r>
          <w:r w:rsidR="00DE38EA">
            <w:rPr>
              <w:rFonts w:cs="Arial"/>
              <w:b/>
              <w:i/>
              <w:color w:val="800000"/>
              <w:sz w:val="36"/>
            </w:rPr>
            <w:t xml:space="preserve"> Standard Specification</w:t>
          </w:r>
        </w:p>
        <w:p w:rsidR="00DE38EA" w:rsidRDefault="00DE38EA" w:rsidP="009E6D1F">
          <w:pPr>
            <w:widowControl w:val="0"/>
            <w:jc w:val="center"/>
            <w:rPr>
              <w:rFonts w:cs="Arial"/>
              <w:b/>
              <w:color w:val="800000"/>
              <w:sz w:val="24"/>
            </w:rPr>
          </w:pPr>
        </w:p>
        <w:p w:rsidR="00DE38EA" w:rsidRDefault="00DE38EA"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3 84 13</w:t>
          </w:r>
        </w:p>
        <w:p w:rsidR="00DE38EA" w:rsidRPr="009E6D1F" w:rsidRDefault="00DE38EA" w:rsidP="009E6D1F">
          <w:pPr>
            <w:widowControl w:val="0"/>
            <w:jc w:val="center"/>
            <w:rPr>
              <w:rFonts w:cs="Arial"/>
              <w:b/>
              <w:color w:val="800000"/>
              <w:sz w:val="24"/>
            </w:rPr>
          </w:pPr>
        </w:p>
        <w:p w:rsidR="00DE38EA" w:rsidRDefault="00DE38EA" w:rsidP="009E6D1F">
          <w:pPr>
            <w:tabs>
              <w:tab w:val="center" w:pos="4680"/>
            </w:tabs>
            <w:suppressAutoHyphens/>
            <w:jc w:val="center"/>
            <w:rPr>
              <w:rFonts w:cs="Arial"/>
              <w:b/>
              <w:color w:val="800000"/>
              <w:sz w:val="24"/>
            </w:rPr>
          </w:pPr>
          <w:r>
            <w:rPr>
              <w:rFonts w:cs="Arial"/>
              <w:b/>
              <w:color w:val="800000"/>
              <w:sz w:val="24"/>
            </w:rPr>
            <w:t>STEAM GRID HUMIDIFIERS</w:t>
          </w:r>
        </w:p>
        <w:p w:rsidR="00DE38EA" w:rsidRPr="009E6D1F" w:rsidRDefault="00DE38EA" w:rsidP="009E6D1F">
          <w:pPr>
            <w:tabs>
              <w:tab w:val="center" w:pos="4680"/>
            </w:tabs>
            <w:suppressAutoHyphens/>
            <w:jc w:val="center"/>
            <w:rPr>
              <w:rFonts w:cs="Arial"/>
              <w:b/>
              <w:color w:val="FF0000"/>
              <w:sz w:val="24"/>
            </w:rPr>
          </w:pPr>
        </w:p>
        <w:p w:rsidR="00DE38EA" w:rsidRDefault="00DE38EA" w:rsidP="009E6D1F">
          <w:pPr>
            <w:spacing w:line="240" w:lineRule="atLeast"/>
            <w:ind w:right="-288"/>
            <w:rPr>
              <w:rFonts w:cs="Arial"/>
              <w:i/>
            </w:rPr>
          </w:pPr>
        </w:p>
        <w:p w:rsidR="00DE38EA" w:rsidRDefault="00DE38EA" w:rsidP="00C13673">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C13673">
            <w:rPr>
              <w:rFonts w:cs="Arial"/>
              <w:color w:val="0000FF"/>
              <w:u w:val="single"/>
            </w:rPr>
            <w:t>h.edu</w:t>
          </w:r>
          <w:r>
            <w:rPr>
              <w:rFonts w:cs="Arial"/>
              <w:i/>
            </w:rPr>
            <w:t xml:space="preserve"> or contact the Office of Facilities Planning and </w:t>
          </w:r>
          <w:r w:rsidR="00C13673">
            <w:rPr>
              <w:rFonts w:cs="Arial"/>
              <w:i/>
            </w:rPr>
            <w:t>Engineering</w:t>
          </w:r>
        </w:p>
        <w:p w:rsidR="00DE38EA" w:rsidRDefault="00DE38EA"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E38EA" w:rsidRPr="009E6D1F" w:rsidTr="00717FBA">
            <w:trPr>
              <w:cantSplit/>
              <w:jc w:val="right"/>
            </w:trPr>
            <w:tc>
              <w:tcPr>
                <w:tcW w:w="1454" w:type="dxa"/>
                <w:tcBorders>
                  <w:top w:val="double" w:sz="6" w:space="0" w:color="auto"/>
                  <w:left w:val="double" w:sz="6" w:space="0" w:color="auto"/>
                  <w:bottom w:val="double" w:sz="6" w:space="0" w:color="auto"/>
                </w:tcBorders>
              </w:tcPr>
              <w:p w:rsidR="00DE38EA" w:rsidRPr="009E6D1F" w:rsidRDefault="00DE38EA"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DE38EA" w:rsidRPr="009E6D1F" w:rsidRDefault="00DE38EA"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DE38EA" w:rsidRPr="009E6D1F" w:rsidRDefault="00DE38EA"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DE38EA" w:rsidRPr="009E6D1F" w:rsidRDefault="00DE38EA" w:rsidP="009E6D1F">
                <w:pPr>
                  <w:widowControl w:val="0"/>
                  <w:jc w:val="center"/>
                  <w:rPr>
                    <w:rFonts w:ascii="Times New Roman" w:hAnsi="Times New Roman"/>
                    <w:sz w:val="24"/>
                  </w:rPr>
                </w:pPr>
                <w:r w:rsidRPr="009E6D1F">
                  <w:rPr>
                    <w:rFonts w:ascii="Times New Roman" w:hAnsi="Times New Roman"/>
                    <w:sz w:val="24"/>
                  </w:rPr>
                  <w:t>Remarks</w:t>
                </w:r>
              </w:p>
            </w:tc>
          </w:tr>
          <w:tr w:rsidR="00DE38EA" w:rsidRPr="009E6D1F" w:rsidTr="00717FBA">
            <w:trPr>
              <w:cantSplit/>
              <w:jc w:val="right"/>
            </w:trPr>
            <w:tc>
              <w:tcPr>
                <w:tcW w:w="1454" w:type="dxa"/>
                <w:tcBorders>
                  <w:left w:val="double" w:sz="6" w:space="0" w:color="auto"/>
                </w:tcBorders>
              </w:tcPr>
              <w:p w:rsidR="00DE38EA" w:rsidRPr="00DE38EA" w:rsidRDefault="00DE38EA" w:rsidP="00DE38EA">
                <w:pPr>
                  <w:widowControl w:val="0"/>
                  <w:jc w:val="center"/>
                  <w:rPr>
                    <w:rFonts w:cs="Arial"/>
                    <w:szCs w:val="20"/>
                  </w:rPr>
                </w:pPr>
                <w:r w:rsidRPr="00DE38EA">
                  <w:rPr>
                    <w:rFonts w:cs="Arial"/>
                    <w:szCs w:val="20"/>
                  </w:rPr>
                  <w:t>0</w:t>
                </w:r>
              </w:p>
            </w:tc>
            <w:tc>
              <w:tcPr>
                <w:tcW w:w="2088" w:type="dxa"/>
                <w:tcBorders>
                  <w:left w:val="single" w:sz="6" w:space="0" w:color="auto"/>
                </w:tcBorders>
              </w:tcPr>
              <w:p w:rsidR="00DE38EA" w:rsidRPr="00DE38EA" w:rsidRDefault="00C13673" w:rsidP="00DE38EA">
                <w:pPr>
                  <w:widowControl w:val="0"/>
                  <w:jc w:val="center"/>
                  <w:rPr>
                    <w:rFonts w:cs="Arial"/>
                    <w:szCs w:val="20"/>
                  </w:rPr>
                </w:pPr>
                <w:r>
                  <w:rPr>
                    <w:rFonts w:cs="Arial"/>
                    <w:szCs w:val="20"/>
                  </w:rPr>
                  <w:t>October 2022</w:t>
                </w:r>
              </w:p>
            </w:tc>
            <w:tc>
              <w:tcPr>
                <w:tcW w:w="1368" w:type="dxa"/>
                <w:tcBorders>
                  <w:left w:val="single" w:sz="6" w:space="0" w:color="auto"/>
                </w:tcBorders>
              </w:tcPr>
              <w:p w:rsidR="00DE38EA" w:rsidRPr="00DE38EA" w:rsidRDefault="00C13673" w:rsidP="00DE38EA">
                <w:pPr>
                  <w:widowControl w:val="0"/>
                  <w:jc w:val="center"/>
                  <w:rPr>
                    <w:rFonts w:cs="Arial"/>
                    <w:szCs w:val="20"/>
                  </w:rPr>
                </w:pPr>
                <w:r>
                  <w:rPr>
                    <w:rFonts w:cs="Arial"/>
                    <w:szCs w:val="20"/>
                  </w:rPr>
                  <w:t>3</w:t>
                </w:r>
              </w:p>
            </w:tc>
            <w:tc>
              <w:tcPr>
                <w:tcW w:w="4733" w:type="dxa"/>
                <w:tcBorders>
                  <w:left w:val="single" w:sz="6" w:space="0" w:color="auto"/>
                  <w:right w:val="double" w:sz="6" w:space="0" w:color="auto"/>
                </w:tcBorders>
              </w:tcPr>
              <w:p w:rsidR="00DE38EA" w:rsidRPr="00DE38EA" w:rsidRDefault="00C13673" w:rsidP="00DE38EA">
                <w:pPr>
                  <w:widowControl w:val="0"/>
                  <w:jc w:val="center"/>
                  <w:rPr>
                    <w:rFonts w:cs="Arial"/>
                    <w:szCs w:val="20"/>
                  </w:rPr>
                </w:pPr>
                <w:r>
                  <w:rPr>
                    <w:rFonts w:cs="Arial"/>
                    <w:szCs w:val="20"/>
                  </w:rPr>
                  <w:t>Issuance</w:t>
                </w:r>
                <w:r w:rsidR="00DE38EA" w:rsidRPr="00DE38EA">
                  <w:rPr>
                    <w:rFonts w:cs="Arial"/>
                    <w:szCs w:val="20"/>
                  </w:rPr>
                  <w:t xml:space="preserve"> </w:t>
                </w:r>
              </w:p>
            </w:tc>
          </w:tr>
          <w:tr w:rsidR="00DE38EA" w:rsidRPr="009E6D1F" w:rsidTr="00717FBA">
            <w:trPr>
              <w:cantSplit/>
              <w:jc w:val="right"/>
            </w:trPr>
            <w:tc>
              <w:tcPr>
                <w:tcW w:w="1454" w:type="dxa"/>
                <w:tcBorders>
                  <w:top w:val="single" w:sz="6" w:space="0" w:color="auto"/>
                  <w:left w:val="double" w:sz="6" w:space="0" w:color="auto"/>
                  <w:bottom w:val="single" w:sz="6" w:space="0" w:color="auto"/>
                </w:tcBorders>
              </w:tcPr>
              <w:p w:rsidR="00DE38EA" w:rsidRPr="00DE38EA" w:rsidRDefault="00DE38EA" w:rsidP="00DE38E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DE38EA" w:rsidRPr="00DE38EA" w:rsidRDefault="00DE38EA" w:rsidP="00DE38E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DE38EA" w:rsidRPr="00DE38EA" w:rsidRDefault="00DE38EA" w:rsidP="00DE38EA">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DE38EA" w:rsidRPr="00DE38EA" w:rsidRDefault="00DE38EA" w:rsidP="00DE38EA">
                <w:pPr>
                  <w:widowControl w:val="0"/>
                  <w:jc w:val="center"/>
                  <w:rPr>
                    <w:rFonts w:cs="Arial"/>
                    <w:szCs w:val="20"/>
                  </w:rPr>
                </w:pPr>
              </w:p>
            </w:tc>
          </w:tr>
          <w:tr w:rsidR="00DE38EA" w:rsidRPr="009E6D1F" w:rsidTr="00717FBA">
            <w:trPr>
              <w:cantSplit/>
              <w:jc w:val="right"/>
            </w:trPr>
            <w:tc>
              <w:tcPr>
                <w:tcW w:w="1454" w:type="dxa"/>
                <w:tcBorders>
                  <w:top w:val="single" w:sz="6" w:space="0" w:color="auto"/>
                  <w:left w:val="double" w:sz="6" w:space="0" w:color="auto"/>
                  <w:bottom w:val="single" w:sz="6" w:space="0" w:color="auto"/>
                </w:tcBorders>
              </w:tcPr>
              <w:p w:rsidR="00DE38EA" w:rsidRPr="00DE38EA" w:rsidRDefault="00DE38EA" w:rsidP="00DE38EA">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DE38EA" w:rsidRPr="00DE38EA" w:rsidRDefault="00DE38EA" w:rsidP="00DE38EA">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DE38EA" w:rsidRPr="00DE38EA" w:rsidRDefault="00DE38EA" w:rsidP="00DE38EA">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DE38EA" w:rsidRPr="00DE38EA" w:rsidRDefault="00DE38EA" w:rsidP="00DE38EA">
                <w:pPr>
                  <w:widowControl w:val="0"/>
                  <w:jc w:val="center"/>
                  <w:rPr>
                    <w:rFonts w:cs="Arial"/>
                    <w:szCs w:val="20"/>
                  </w:rPr>
                </w:pPr>
              </w:p>
            </w:tc>
          </w:tr>
          <w:tr w:rsidR="00DE38EA" w:rsidRPr="009E6D1F" w:rsidTr="00717FBA">
            <w:trPr>
              <w:cantSplit/>
              <w:jc w:val="right"/>
            </w:trPr>
            <w:tc>
              <w:tcPr>
                <w:tcW w:w="1454" w:type="dxa"/>
                <w:tcBorders>
                  <w:top w:val="single" w:sz="6" w:space="0" w:color="auto"/>
                  <w:left w:val="double" w:sz="6" w:space="0" w:color="auto"/>
                  <w:bottom w:val="double" w:sz="6" w:space="0" w:color="auto"/>
                </w:tcBorders>
              </w:tcPr>
              <w:p w:rsidR="00DE38EA" w:rsidRPr="00DE38EA" w:rsidRDefault="00DE38EA" w:rsidP="00DE38EA">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DE38EA" w:rsidRPr="00DE38EA" w:rsidRDefault="00DE38EA" w:rsidP="00DE38EA">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DE38EA" w:rsidRPr="00DE38EA" w:rsidRDefault="00DE38EA" w:rsidP="00DE38EA">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DE38EA" w:rsidRPr="00DE38EA" w:rsidRDefault="00DE38EA" w:rsidP="00DE38EA">
                <w:pPr>
                  <w:widowControl w:val="0"/>
                  <w:jc w:val="center"/>
                  <w:rPr>
                    <w:rFonts w:cs="Arial"/>
                    <w:szCs w:val="20"/>
                  </w:rPr>
                </w:pPr>
              </w:p>
            </w:tc>
          </w:tr>
        </w:tbl>
        <w:p w:rsidR="00DE38EA" w:rsidRDefault="00DE38EA" w:rsidP="00F05665">
          <w:pPr>
            <w:tabs>
              <w:tab w:val="left" w:pos="7685"/>
            </w:tabs>
          </w:pPr>
        </w:p>
        <w:p w:rsidR="00DE38EA" w:rsidRDefault="00DE38EA" w:rsidP="00F05665">
          <w:pPr>
            <w:tabs>
              <w:tab w:val="left" w:pos="7685"/>
            </w:tabs>
          </w:pPr>
        </w:p>
        <w:p w:rsidR="00DE38EA" w:rsidRDefault="00DE38EA" w:rsidP="00F05665">
          <w:pPr>
            <w:tabs>
              <w:tab w:val="left" w:pos="7685"/>
            </w:tabs>
          </w:pPr>
        </w:p>
        <w:p w:rsidR="00DE38EA" w:rsidRDefault="00DE38EA" w:rsidP="00F05665">
          <w:pPr>
            <w:tabs>
              <w:tab w:val="left" w:pos="7685"/>
            </w:tabs>
          </w:pPr>
        </w:p>
        <w:p w:rsidR="00DE38EA" w:rsidRDefault="00DE38EA" w:rsidP="00F05665">
          <w:pPr>
            <w:tabs>
              <w:tab w:val="left" w:pos="7685"/>
            </w:tabs>
          </w:pPr>
          <w:bookmarkStart w:id="0" w:name="_GoBack"/>
          <w:bookmarkEnd w:id="0"/>
        </w:p>
        <w:p w:rsidR="00DE38EA" w:rsidRDefault="00DE38EA" w:rsidP="00F05665">
          <w:pPr>
            <w:tabs>
              <w:tab w:val="left" w:pos="7685"/>
            </w:tabs>
          </w:pPr>
        </w:p>
        <w:p w:rsidR="00DE38EA" w:rsidRDefault="00DE38EA" w:rsidP="00F05665">
          <w:pPr>
            <w:tabs>
              <w:tab w:val="left" w:pos="7685"/>
            </w:tabs>
          </w:pPr>
        </w:p>
        <w:p w:rsidR="00DE38EA" w:rsidRDefault="00DE38EA" w:rsidP="00F05665">
          <w:pPr>
            <w:tabs>
              <w:tab w:val="left" w:pos="7685"/>
            </w:tabs>
          </w:pPr>
        </w:p>
        <w:p w:rsidR="00DE38EA" w:rsidRDefault="00DE38EA" w:rsidP="00F05665">
          <w:pPr>
            <w:tabs>
              <w:tab w:val="left" w:pos="7685"/>
            </w:tabs>
          </w:pPr>
        </w:p>
        <w:p w:rsidR="00DE38EA" w:rsidRDefault="00DE38EA">
          <w:pPr>
            <w:spacing w:after="200" w:line="276" w:lineRule="auto"/>
            <w:jc w:val="left"/>
            <w:rPr>
              <w:rFonts w:cs="Arial"/>
              <w:b/>
              <w:szCs w:val="20"/>
            </w:rPr>
          </w:pPr>
          <w:r>
            <w:rPr>
              <w:rFonts w:cs="Arial"/>
              <w:b/>
              <w:szCs w:val="20"/>
            </w:rPr>
            <w:br w:type="page"/>
          </w:r>
        </w:p>
      </w:sdtContent>
    </w:sdt>
    <w:p w:rsidR="0088207A" w:rsidRDefault="00A041E5">
      <w:pPr>
        <w:spacing w:before="200" w:after="400"/>
        <w:rPr>
          <w:rFonts w:cs="Arial"/>
          <w:b/>
          <w:szCs w:val="20"/>
        </w:rPr>
      </w:pPr>
      <w:r w:rsidRPr="00A041E5">
        <w:rPr>
          <w:rFonts w:cs="Arial"/>
          <w:b/>
          <w:szCs w:val="20"/>
        </w:rPr>
        <w:lastRenderedPageBreak/>
        <w:t>SECTION 23 84 13 – STEAM GRID HUMIDIFIERS</w:t>
      </w:r>
    </w:p>
    <w:p w:rsidR="007B675E" w:rsidRPr="000A1068" w:rsidRDefault="00A041E5" w:rsidP="007B675E">
      <w:pPr>
        <w:pStyle w:val="PRT"/>
        <w:rPr>
          <w:rFonts w:cs="Arial"/>
          <w:b/>
          <w:szCs w:val="20"/>
        </w:rPr>
      </w:pPr>
      <w:r w:rsidRPr="00A041E5">
        <w:rPr>
          <w:rFonts w:cs="Arial"/>
          <w:b/>
          <w:szCs w:val="20"/>
        </w:rPr>
        <w:t>GENERAL</w:t>
      </w:r>
    </w:p>
    <w:p w:rsidR="007B675E" w:rsidRPr="00F20F96" w:rsidRDefault="00A041E5" w:rsidP="00BA3CB9">
      <w:pPr>
        <w:pStyle w:val="ART"/>
      </w:pPr>
      <w:r w:rsidRPr="00A041E5">
        <w:t>The following sections are to be included as if written herein:</w:t>
      </w:r>
    </w:p>
    <w:p w:rsidR="007B675E" w:rsidRPr="007B675E" w:rsidRDefault="007B675E" w:rsidP="007B675E">
      <w:pPr>
        <w:pStyle w:val="PR1"/>
        <w:rPr>
          <w:rFonts w:cs="Arial"/>
          <w:szCs w:val="20"/>
        </w:rPr>
      </w:pPr>
      <w:r w:rsidRPr="007B675E">
        <w:rPr>
          <w:rFonts w:cs="Arial"/>
          <w:szCs w:val="20"/>
        </w:rPr>
        <w:t>Section 23 00 00 – Basic Mechanical Requirements</w:t>
      </w:r>
    </w:p>
    <w:p w:rsidR="007B675E" w:rsidRPr="007B675E" w:rsidRDefault="007B675E" w:rsidP="007B675E">
      <w:pPr>
        <w:pStyle w:val="PR1"/>
        <w:rPr>
          <w:rFonts w:cs="Arial"/>
          <w:szCs w:val="20"/>
        </w:rPr>
      </w:pPr>
      <w:r w:rsidRPr="007B675E">
        <w:rPr>
          <w:rFonts w:cs="Arial"/>
          <w:szCs w:val="20"/>
        </w:rPr>
        <w:t>Section 23 05 29 – Sleeves, Flashings, Supports and Anchors</w:t>
      </w:r>
    </w:p>
    <w:p w:rsidR="007B675E" w:rsidRDefault="007B675E" w:rsidP="007B675E">
      <w:pPr>
        <w:pStyle w:val="PR1"/>
        <w:rPr>
          <w:rFonts w:cs="Arial"/>
          <w:szCs w:val="20"/>
        </w:rPr>
      </w:pPr>
      <w:r w:rsidRPr="007B675E">
        <w:rPr>
          <w:rFonts w:cs="Arial"/>
          <w:szCs w:val="20"/>
        </w:rPr>
        <w:t>Section 23 05 53 – Mechanical Identification</w:t>
      </w:r>
    </w:p>
    <w:p w:rsidR="007B675E" w:rsidRPr="00F20F96" w:rsidRDefault="00A041E5" w:rsidP="00BA3CB9">
      <w:pPr>
        <w:pStyle w:val="ART"/>
      </w:pPr>
      <w:r w:rsidRPr="00A041E5">
        <w:t>SECTION INCLUDES</w:t>
      </w:r>
    </w:p>
    <w:p w:rsidR="007B675E" w:rsidRPr="00905AA9" w:rsidRDefault="007B675E" w:rsidP="00905AA9">
      <w:pPr>
        <w:pStyle w:val="PR1"/>
        <w:rPr>
          <w:rFonts w:cs="Arial"/>
          <w:szCs w:val="20"/>
        </w:rPr>
      </w:pPr>
      <w:r w:rsidRPr="007B675E">
        <w:rPr>
          <w:rFonts w:cs="Arial"/>
          <w:szCs w:val="20"/>
        </w:rPr>
        <w:t>Dry Steam Humidifiers</w:t>
      </w:r>
      <w:r w:rsidR="00905AA9">
        <w:rPr>
          <w:rFonts w:cs="Arial"/>
          <w:szCs w:val="20"/>
        </w:rPr>
        <w:t xml:space="preserve"> with </w:t>
      </w:r>
      <w:r w:rsidR="00864FEC">
        <w:rPr>
          <w:rFonts w:cs="Arial"/>
          <w:szCs w:val="20"/>
        </w:rPr>
        <w:t>Steam Jacketed Distribution Manifolds</w:t>
      </w:r>
    </w:p>
    <w:p w:rsidR="007B675E" w:rsidRPr="00F20F96" w:rsidRDefault="00A041E5" w:rsidP="00BA3CB9">
      <w:pPr>
        <w:pStyle w:val="ART"/>
      </w:pPr>
      <w:r w:rsidRPr="00A041E5">
        <w:t>PRODUCTS FURNISHED BUT NOT INSTALLED UNDER THIS SECTION</w:t>
      </w:r>
    </w:p>
    <w:p w:rsidR="007B675E" w:rsidRPr="00DD1BC6" w:rsidRDefault="00864FEC" w:rsidP="007B675E">
      <w:pPr>
        <w:pStyle w:val="PR1"/>
        <w:rPr>
          <w:rFonts w:cs="Arial"/>
          <w:szCs w:val="20"/>
        </w:rPr>
      </w:pPr>
      <w:r w:rsidRPr="00DD1BC6">
        <w:rPr>
          <w:rFonts w:cs="Arial"/>
          <w:szCs w:val="20"/>
        </w:rPr>
        <w:t xml:space="preserve">Section 23 09 23 </w:t>
      </w:r>
      <w:r w:rsidRPr="00DD1BC6">
        <w:rPr>
          <w:rFonts w:cs="Arial"/>
          <w:szCs w:val="20"/>
        </w:rPr>
        <w:noBreakHyphen/>
        <w:t xml:space="preserve"> Controls and Instrumentation: Installation of Humidistat</w:t>
      </w:r>
    </w:p>
    <w:p w:rsidR="007B675E" w:rsidRPr="007B675E" w:rsidRDefault="007B675E" w:rsidP="007B675E">
      <w:pPr>
        <w:pStyle w:val="PR1"/>
        <w:rPr>
          <w:rFonts w:cs="Arial"/>
          <w:szCs w:val="20"/>
        </w:rPr>
      </w:pPr>
      <w:r w:rsidRPr="007B675E">
        <w:rPr>
          <w:rFonts w:cs="Arial"/>
          <w:szCs w:val="20"/>
        </w:rPr>
        <w:t xml:space="preserve">Section 26 05 19 </w:t>
      </w:r>
      <w:r w:rsidRPr="007B675E">
        <w:rPr>
          <w:rFonts w:cs="Arial"/>
          <w:szCs w:val="20"/>
        </w:rPr>
        <w:noBreakHyphen/>
        <w:t xml:space="preserve"> Cable, Wire and Connectors, 600 Volt</w:t>
      </w:r>
    </w:p>
    <w:p w:rsidR="007B675E" w:rsidRPr="007B675E" w:rsidRDefault="007B675E" w:rsidP="007B675E">
      <w:pPr>
        <w:pStyle w:val="PR1"/>
        <w:rPr>
          <w:rFonts w:cs="Arial"/>
          <w:szCs w:val="20"/>
        </w:rPr>
      </w:pPr>
      <w:r w:rsidRPr="007B675E">
        <w:rPr>
          <w:rFonts w:cs="Arial"/>
          <w:szCs w:val="20"/>
        </w:rPr>
        <w:t xml:space="preserve">Section 26 27 26 </w:t>
      </w:r>
      <w:r w:rsidRPr="007B675E">
        <w:rPr>
          <w:rFonts w:cs="Arial"/>
          <w:szCs w:val="20"/>
        </w:rPr>
        <w:noBreakHyphen/>
        <w:t xml:space="preserve"> Wiring Devices and Floor Boxes</w:t>
      </w:r>
    </w:p>
    <w:p w:rsidR="007B675E" w:rsidRPr="00F20F96" w:rsidRDefault="00A041E5" w:rsidP="00BA3CB9">
      <w:pPr>
        <w:pStyle w:val="ART"/>
      </w:pPr>
      <w:r w:rsidRPr="00A041E5">
        <w:t>RELATED SECTIONS</w:t>
      </w:r>
    </w:p>
    <w:p w:rsidR="007B675E" w:rsidRPr="007B675E" w:rsidRDefault="007B675E" w:rsidP="007B675E">
      <w:pPr>
        <w:pStyle w:val="PR1"/>
        <w:rPr>
          <w:rFonts w:cs="Arial"/>
          <w:szCs w:val="20"/>
        </w:rPr>
      </w:pPr>
      <w:r w:rsidRPr="007B675E">
        <w:rPr>
          <w:rFonts w:cs="Arial"/>
          <w:szCs w:val="20"/>
        </w:rPr>
        <w:t xml:space="preserve">Section 23 22 00 </w:t>
      </w:r>
      <w:r w:rsidRPr="007B675E">
        <w:rPr>
          <w:rFonts w:cs="Arial"/>
          <w:szCs w:val="20"/>
        </w:rPr>
        <w:noBreakHyphen/>
        <w:t xml:space="preserve"> Steam and Steam Condensate Piping: Connection of Steam</w:t>
      </w:r>
    </w:p>
    <w:p w:rsidR="007B675E" w:rsidRPr="007B675E" w:rsidRDefault="007B675E" w:rsidP="007B675E">
      <w:pPr>
        <w:pStyle w:val="PR1"/>
        <w:rPr>
          <w:rFonts w:cs="Arial"/>
          <w:szCs w:val="20"/>
        </w:rPr>
      </w:pPr>
      <w:r w:rsidRPr="007B675E">
        <w:rPr>
          <w:rFonts w:cs="Arial"/>
          <w:szCs w:val="20"/>
        </w:rPr>
        <w:t xml:space="preserve">Section 23 09 00 </w:t>
      </w:r>
      <w:r w:rsidRPr="007B675E">
        <w:rPr>
          <w:rFonts w:cs="Arial"/>
          <w:szCs w:val="20"/>
        </w:rPr>
        <w:noBreakHyphen/>
        <w:t xml:space="preserve"> Controls and Instrumentation: Installation of Humidistats</w:t>
      </w:r>
    </w:p>
    <w:p w:rsidR="007B675E" w:rsidRPr="007B675E" w:rsidRDefault="007B675E" w:rsidP="007B675E">
      <w:pPr>
        <w:pStyle w:val="PR1"/>
        <w:rPr>
          <w:rFonts w:cs="Arial"/>
          <w:szCs w:val="20"/>
        </w:rPr>
      </w:pPr>
      <w:r w:rsidRPr="007B675E">
        <w:rPr>
          <w:rFonts w:cs="Arial"/>
          <w:szCs w:val="20"/>
        </w:rPr>
        <w:t xml:space="preserve">Section 26 05 19 </w:t>
      </w:r>
      <w:r w:rsidRPr="007B675E">
        <w:rPr>
          <w:rFonts w:cs="Arial"/>
          <w:szCs w:val="20"/>
        </w:rPr>
        <w:noBreakHyphen/>
        <w:t xml:space="preserve"> Cable, Wire and Connectors, 600 Volt</w:t>
      </w:r>
    </w:p>
    <w:p w:rsidR="007B675E" w:rsidRPr="007B675E" w:rsidRDefault="007B675E" w:rsidP="007B675E">
      <w:pPr>
        <w:pStyle w:val="PR1"/>
        <w:rPr>
          <w:rFonts w:cs="Arial"/>
          <w:szCs w:val="20"/>
        </w:rPr>
      </w:pPr>
      <w:r w:rsidRPr="007B675E">
        <w:rPr>
          <w:rFonts w:cs="Arial"/>
          <w:szCs w:val="20"/>
        </w:rPr>
        <w:t xml:space="preserve">Section 26 27 26 </w:t>
      </w:r>
      <w:r w:rsidRPr="007B675E">
        <w:rPr>
          <w:rFonts w:cs="Arial"/>
          <w:szCs w:val="20"/>
        </w:rPr>
        <w:noBreakHyphen/>
        <w:t xml:space="preserve"> Wiring Devices and Floor Boxes</w:t>
      </w:r>
    </w:p>
    <w:p w:rsidR="007B675E" w:rsidRPr="00F20F96" w:rsidRDefault="00A041E5" w:rsidP="00BA3CB9">
      <w:pPr>
        <w:pStyle w:val="ART"/>
      </w:pPr>
      <w:r w:rsidRPr="00A041E5">
        <w:t>REFERENCES</w:t>
      </w:r>
    </w:p>
    <w:p w:rsidR="007B675E" w:rsidRPr="007B675E" w:rsidRDefault="007B675E" w:rsidP="007B675E">
      <w:pPr>
        <w:pStyle w:val="PR1"/>
        <w:rPr>
          <w:rFonts w:cs="Arial"/>
          <w:szCs w:val="20"/>
        </w:rPr>
      </w:pPr>
      <w:r w:rsidRPr="007B675E">
        <w:rPr>
          <w:rFonts w:cs="Arial"/>
          <w:szCs w:val="20"/>
        </w:rPr>
        <w:t>A</w:t>
      </w:r>
      <w:r w:rsidR="00B324C0">
        <w:rPr>
          <w:rFonts w:cs="Arial"/>
          <w:szCs w:val="20"/>
        </w:rPr>
        <w:t>H</w:t>
      </w:r>
      <w:r w:rsidRPr="007B675E">
        <w:rPr>
          <w:rFonts w:cs="Arial"/>
          <w:szCs w:val="20"/>
        </w:rPr>
        <w:t xml:space="preserve">RI </w:t>
      </w:r>
      <w:r w:rsidR="00A41746" w:rsidRPr="007B675E">
        <w:rPr>
          <w:rFonts w:cs="Arial"/>
          <w:szCs w:val="20"/>
        </w:rPr>
        <w:t>6</w:t>
      </w:r>
      <w:r w:rsidR="00A41746">
        <w:rPr>
          <w:rFonts w:cs="Arial"/>
          <w:szCs w:val="20"/>
        </w:rPr>
        <w:t>4</w:t>
      </w:r>
      <w:r w:rsidR="00A41746" w:rsidRPr="007B675E">
        <w:rPr>
          <w:rFonts w:cs="Arial"/>
          <w:szCs w:val="20"/>
        </w:rPr>
        <w:t xml:space="preserve">0 </w:t>
      </w:r>
      <w:r w:rsidRPr="007B675E">
        <w:rPr>
          <w:rFonts w:cs="Arial"/>
          <w:szCs w:val="20"/>
        </w:rPr>
        <w:noBreakHyphen/>
        <w:t xml:space="preserve"> </w:t>
      </w:r>
      <w:r w:rsidR="00A41746">
        <w:rPr>
          <w:rFonts w:cs="Arial"/>
          <w:szCs w:val="20"/>
        </w:rPr>
        <w:t>Performance Rating of Commercial and Industrial Humidifiers</w:t>
      </w:r>
    </w:p>
    <w:p w:rsidR="007B675E" w:rsidRPr="00F20F96" w:rsidRDefault="00A041E5" w:rsidP="00BA3CB9">
      <w:pPr>
        <w:pStyle w:val="ART"/>
      </w:pPr>
      <w:r w:rsidRPr="00A041E5">
        <w:t>SUBMITTALS</w:t>
      </w:r>
    </w:p>
    <w:p w:rsidR="007B675E" w:rsidRPr="007B675E" w:rsidRDefault="007B675E" w:rsidP="007B675E">
      <w:pPr>
        <w:pStyle w:val="PR1"/>
        <w:rPr>
          <w:rFonts w:cs="Arial"/>
          <w:szCs w:val="20"/>
        </w:rPr>
      </w:pPr>
      <w:r w:rsidRPr="007B675E">
        <w:rPr>
          <w:rFonts w:cs="Arial"/>
          <w:szCs w:val="20"/>
        </w:rPr>
        <w:t>Submit shop drawings under provisions of Section 23 00 00.</w:t>
      </w:r>
    </w:p>
    <w:p w:rsidR="007B675E" w:rsidRPr="007B675E" w:rsidRDefault="007B675E" w:rsidP="007B675E">
      <w:pPr>
        <w:pStyle w:val="PR1"/>
        <w:rPr>
          <w:rFonts w:cs="Arial"/>
          <w:szCs w:val="20"/>
        </w:rPr>
      </w:pPr>
      <w:r w:rsidRPr="007B675E">
        <w:rPr>
          <w:rFonts w:cs="Arial"/>
          <w:szCs w:val="20"/>
        </w:rPr>
        <w:t>Product Data: Provide catalog data indicating rated capacity, dimensions, duct and service connections, electric nameplate data and wiring diagrams.</w:t>
      </w:r>
    </w:p>
    <w:p w:rsidR="007B675E" w:rsidRPr="00F20F96" w:rsidRDefault="00A041E5" w:rsidP="00BA3CB9">
      <w:pPr>
        <w:pStyle w:val="ART"/>
      </w:pPr>
      <w:r w:rsidRPr="00A041E5">
        <w:t>OPERATION AND MAINTENANCE DATA</w:t>
      </w:r>
    </w:p>
    <w:p w:rsidR="007B675E" w:rsidRPr="007B675E" w:rsidRDefault="007B675E" w:rsidP="007B675E">
      <w:pPr>
        <w:pStyle w:val="PR1"/>
        <w:rPr>
          <w:rFonts w:cs="Arial"/>
          <w:szCs w:val="20"/>
        </w:rPr>
      </w:pPr>
      <w:r w:rsidRPr="007B675E">
        <w:rPr>
          <w:rFonts w:cs="Arial"/>
          <w:szCs w:val="20"/>
        </w:rPr>
        <w:t>Submit operation data under provisions of Section 23 00 00.</w:t>
      </w:r>
    </w:p>
    <w:p w:rsidR="007B675E" w:rsidRPr="007B675E" w:rsidRDefault="007B675E" w:rsidP="007B675E">
      <w:pPr>
        <w:pStyle w:val="PR1"/>
        <w:rPr>
          <w:rFonts w:cs="Arial"/>
          <w:szCs w:val="20"/>
        </w:rPr>
      </w:pPr>
      <w:r w:rsidRPr="007B675E">
        <w:rPr>
          <w:rFonts w:cs="Arial"/>
          <w:szCs w:val="20"/>
        </w:rPr>
        <w:t>Include manufacturer's descriptive literature, operating instructions, installation instructions, maintenance and repair data, and parts listing.</w:t>
      </w:r>
    </w:p>
    <w:p w:rsidR="007B675E" w:rsidRPr="00F20F96" w:rsidRDefault="00A041E5" w:rsidP="00BA3CB9">
      <w:pPr>
        <w:pStyle w:val="ART"/>
      </w:pPr>
      <w:r w:rsidRPr="00A041E5">
        <w:t>QUALIFICATIONS</w:t>
      </w:r>
    </w:p>
    <w:p w:rsidR="0088207A" w:rsidRPr="00BA3CB9" w:rsidRDefault="007B675E" w:rsidP="00BA3CB9">
      <w:pPr>
        <w:pStyle w:val="PR1"/>
        <w:rPr>
          <w:rFonts w:cs="Arial"/>
          <w:szCs w:val="20"/>
        </w:rPr>
      </w:pPr>
      <w:r w:rsidRPr="007B675E">
        <w:rPr>
          <w:rFonts w:cs="Arial"/>
          <w:szCs w:val="20"/>
        </w:rPr>
        <w:t>Manufacturer: Company specializing in manufacturing the products specified in this Section with minimum three years documented experience.</w:t>
      </w:r>
    </w:p>
    <w:p w:rsidR="0039090D" w:rsidRDefault="0039090D" w:rsidP="0039090D">
      <w:pPr>
        <w:pStyle w:val="ART"/>
        <w:numPr>
          <w:ilvl w:val="0"/>
          <w:numId w:val="0"/>
        </w:numPr>
        <w:ind w:left="864"/>
      </w:pPr>
    </w:p>
    <w:p w:rsidR="007B675E" w:rsidRPr="00F20F96" w:rsidRDefault="00A041E5" w:rsidP="00BA3CB9">
      <w:pPr>
        <w:pStyle w:val="ART"/>
      </w:pPr>
      <w:r w:rsidRPr="00A041E5">
        <w:lastRenderedPageBreak/>
        <w:t>WARRANTY</w:t>
      </w:r>
    </w:p>
    <w:p w:rsidR="007B675E" w:rsidRPr="007B675E" w:rsidRDefault="007B675E" w:rsidP="007B675E">
      <w:pPr>
        <w:pStyle w:val="PR1"/>
        <w:rPr>
          <w:rFonts w:cs="Arial"/>
          <w:szCs w:val="20"/>
        </w:rPr>
      </w:pPr>
      <w:r w:rsidRPr="007B675E">
        <w:rPr>
          <w:rFonts w:cs="Arial"/>
          <w:szCs w:val="20"/>
        </w:rPr>
        <w:t>Provide two-year warranty under provisions of Section 23 00 00.</w:t>
      </w:r>
    </w:p>
    <w:p w:rsidR="007B675E" w:rsidRPr="007B675E" w:rsidRDefault="007B675E" w:rsidP="007B675E">
      <w:pPr>
        <w:pStyle w:val="PR1"/>
        <w:rPr>
          <w:rFonts w:cs="Arial"/>
          <w:szCs w:val="20"/>
        </w:rPr>
      </w:pPr>
      <w:r w:rsidRPr="007B675E">
        <w:rPr>
          <w:rFonts w:cs="Arial"/>
          <w:szCs w:val="20"/>
        </w:rPr>
        <w:t>Warranty: Include coverage for humidifier unit except the cylinder.</w:t>
      </w:r>
    </w:p>
    <w:p w:rsidR="007B675E" w:rsidRPr="00BA3CB9" w:rsidRDefault="007B675E" w:rsidP="00BA3CB9">
      <w:pPr>
        <w:pStyle w:val="ART"/>
      </w:pPr>
      <w:r w:rsidRPr="00BA3CB9">
        <w:t xml:space="preserve">EXTRA </w:t>
      </w:r>
      <w:r w:rsidR="00A041E5" w:rsidRPr="00BA3CB9">
        <w:t>MATERIALS</w:t>
      </w:r>
    </w:p>
    <w:p w:rsidR="007B675E" w:rsidRPr="007B675E" w:rsidRDefault="007B675E" w:rsidP="007B675E">
      <w:pPr>
        <w:pStyle w:val="PR1"/>
        <w:rPr>
          <w:rFonts w:cs="Arial"/>
          <w:szCs w:val="20"/>
        </w:rPr>
      </w:pPr>
      <w:r w:rsidRPr="007B675E">
        <w:rPr>
          <w:rFonts w:cs="Arial"/>
          <w:szCs w:val="20"/>
        </w:rPr>
        <w:t>Submit maintenance materials under provisions of Section 23 00 00.</w:t>
      </w:r>
    </w:p>
    <w:p w:rsidR="007B675E" w:rsidRPr="007B675E" w:rsidRDefault="007B675E" w:rsidP="007B675E">
      <w:pPr>
        <w:pStyle w:val="PR1"/>
        <w:rPr>
          <w:rFonts w:cs="Arial"/>
          <w:szCs w:val="20"/>
        </w:rPr>
      </w:pPr>
      <w:r w:rsidRPr="007B675E">
        <w:rPr>
          <w:rFonts w:cs="Arial"/>
          <w:szCs w:val="20"/>
        </w:rPr>
        <w:t>Provide two of humidifier cylinders under provisions of Section 23 00 00.</w:t>
      </w:r>
    </w:p>
    <w:p w:rsidR="007B675E" w:rsidRPr="000A1068" w:rsidRDefault="00A041E5" w:rsidP="007B675E">
      <w:pPr>
        <w:pStyle w:val="PRT"/>
        <w:rPr>
          <w:rFonts w:cs="Arial"/>
          <w:b/>
          <w:szCs w:val="20"/>
        </w:rPr>
      </w:pPr>
      <w:r w:rsidRPr="00A041E5">
        <w:rPr>
          <w:rFonts w:cs="Arial"/>
          <w:b/>
          <w:szCs w:val="20"/>
        </w:rPr>
        <w:t>PRODUCTS</w:t>
      </w:r>
    </w:p>
    <w:p w:rsidR="007B675E" w:rsidRPr="00F20F96" w:rsidRDefault="00A041E5" w:rsidP="00BA3CB9">
      <w:pPr>
        <w:pStyle w:val="ART"/>
      </w:pPr>
      <w:r w:rsidRPr="00A041E5">
        <w:t>STEAM HUMIDIFIERS:</w:t>
      </w:r>
    </w:p>
    <w:p w:rsidR="00A70C45" w:rsidRDefault="00A70C45" w:rsidP="007B675E">
      <w:pPr>
        <w:pStyle w:val="PR1"/>
        <w:rPr>
          <w:rFonts w:cs="Arial"/>
          <w:szCs w:val="20"/>
        </w:rPr>
      </w:pPr>
      <w:r>
        <w:rPr>
          <w:rFonts w:cs="Arial"/>
          <w:szCs w:val="20"/>
        </w:rPr>
        <w:t xml:space="preserve">All steam used in steam humidifier shall be </w:t>
      </w:r>
      <w:r w:rsidR="00792189">
        <w:rPr>
          <w:rFonts w:cs="Arial"/>
          <w:szCs w:val="20"/>
        </w:rPr>
        <w:t>potable</w:t>
      </w:r>
      <w:r>
        <w:rPr>
          <w:rFonts w:cs="Arial"/>
          <w:szCs w:val="20"/>
        </w:rPr>
        <w:t>.</w:t>
      </w:r>
    </w:p>
    <w:p w:rsidR="007B675E" w:rsidRPr="007B675E" w:rsidRDefault="007B675E" w:rsidP="007B675E">
      <w:pPr>
        <w:pStyle w:val="PR1"/>
        <w:rPr>
          <w:rFonts w:cs="Arial"/>
          <w:szCs w:val="20"/>
        </w:rPr>
      </w:pPr>
      <w:r w:rsidRPr="007B675E">
        <w:rPr>
          <w:rFonts w:cs="Arial"/>
          <w:szCs w:val="20"/>
        </w:rPr>
        <w:t xml:space="preserve">Furnish and install steam humidifiers of the sizes and capacities shown on the Drawings and listed in the equipment schedule.  Humidifiers shall be of the multiple dispersion tube, steam injection, dry type wherein entrained condensate is removed from the steam by means of 304 stainless steel, centrifugal type water/steam separator. Humidifiers shall be designed and catalogued to accomplish 100% absorption within 3' (three feet) downstream of the humidifier when the air is at 95% relative humidity.  Humidifiers shall be as manufactured by </w:t>
      </w:r>
      <w:proofErr w:type="spellStart"/>
      <w:r w:rsidRPr="007B675E">
        <w:rPr>
          <w:rFonts w:cs="Arial"/>
          <w:szCs w:val="20"/>
        </w:rPr>
        <w:t>Dri</w:t>
      </w:r>
      <w:r w:rsidRPr="007B675E">
        <w:rPr>
          <w:rFonts w:cs="Arial"/>
          <w:szCs w:val="20"/>
        </w:rPr>
        <w:noBreakHyphen/>
        <w:t>Steem</w:t>
      </w:r>
      <w:proofErr w:type="spellEnd"/>
      <w:r w:rsidRPr="007B675E">
        <w:rPr>
          <w:rFonts w:cs="Arial"/>
          <w:szCs w:val="20"/>
        </w:rPr>
        <w:t xml:space="preserve"> Humidifier Compan</w:t>
      </w:r>
      <w:r w:rsidR="00512D46">
        <w:rPr>
          <w:rFonts w:cs="Arial"/>
          <w:szCs w:val="20"/>
        </w:rPr>
        <w:t>y</w:t>
      </w:r>
      <w:r w:rsidRPr="007B675E">
        <w:rPr>
          <w:rFonts w:cs="Arial"/>
          <w:szCs w:val="20"/>
        </w:rPr>
        <w:t xml:space="preserve"> or approved equal.</w:t>
      </w:r>
    </w:p>
    <w:p w:rsidR="007B675E" w:rsidRPr="007B675E" w:rsidRDefault="007B675E" w:rsidP="007B675E">
      <w:pPr>
        <w:pStyle w:val="PR1"/>
        <w:rPr>
          <w:rFonts w:cs="Arial"/>
          <w:szCs w:val="20"/>
        </w:rPr>
      </w:pPr>
      <w:r w:rsidRPr="007B675E">
        <w:rPr>
          <w:rFonts w:cs="Arial"/>
          <w:szCs w:val="20"/>
        </w:rPr>
        <w:t xml:space="preserve">Steam shall be introduced into the moving air stream by means of 304 stainless steel steam jacketed (and insulated) dispersion tubes of the quantity, size and length indicated in the schedule. The interconnecting manifold piping shall be furnished and field installed by this contractor.  (The fiberglass insulation on the dispersion tubes shall be factory encased in a </w:t>
      </w:r>
      <w:proofErr w:type="gramStart"/>
      <w:r w:rsidRPr="007B675E">
        <w:rPr>
          <w:rFonts w:cs="Arial"/>
          <w:szCs w:val="20"/>
        </w:rPr>
        <w:t>22 gauge</w:t>
      </w:r>
      <w:proofErr w:type="gramEnd"/>
      <w:r w:rsidRPr="007B675E">
        <w:rPr>
          <w:rFonts w:cs="Arial"/>
          <w:szCs w:val="20"/>
        </w:rPr>
        <w:t xml:space="preserve">, </w:t>
      </w:r>
      <w:r w:rsidR="00512B32">
        <w:rPr>
          <w:rFonts w:cs="Arial"/>
          <w:szCs w:val="20"/>
        </w:rPr>
        <w:t>304 stainless steel jacket.)</w:t>
      </w:r>
      <w:r w:rsidRPr="007B675E">
        <w:rPr>
          <w:rFonts w:cs="Arial"/>
          <w:szCs w:val="20"/>
        </w:rPr>
        <w:t xml:space="preserve"> The tubes shall be installed so that they are on approximately 8" (eight inch) centers with the upper and lower tubes no closer than 5" (five inches) from the top and bottom of the duct, respectively.</w:t>
      </w:r>
    </w:p>
    <w:p w:rsidR="007B675E" w:rsidRPr="007B675E" w:rsidRDefault="007B675E" w:rsidP="007B675E">
      <w:pPr>
        <w:pStyle w:val="PR1"/>
        <w:rPr>
          <w:rFonts w:cs="Arial"/>
          <w:szCs w:val="20"/>
        </w:rPr>
      </w:pPr>
      <w:r w:rsidRPr="007B675E">
        <w:rPr>
          <w:rFonts w:cs="Arial"/>
          <w:szCs w:val="20"/>
        </w:rPr>
        <w:t>Each dispersion tube shall be provided with discharge openings located at 1</w:t>
      </w:r>
      <w:r w:rsidRPr="007B675E">
        <w:rPr>
          <w:rFonts w:cs="Arial"/>
          <w:szCs w:val="20"/>
        </w:rPr>
        <w:noBreakHyphen/>
        <w:t>1/2" (one and one</w:t>
      </w:r>
      <w:r w:rsidRPr="007B675E">
        <w:rPr>
          <w:rFonts w:cs="Arial"/>
          <w:szCs w:val="20"/>
        </w:rPr>
        <w:noBreakHyphen/>
        <w:t xml:space="preserve">half inch) centers along the entire length of the tube.  The openings shall be pierced, drawn and tapped with each tapping containing a minimum of 3 (three) threads.  Brass inserts, properly drilled by the manufacturer to match the specified design capacity of each humidifier, shall then be factory installed in each opening.  Each pair of openings adjacent to each end of the dispersion tubes shall be sized for a lesser steam flow than the other openings because of the reduced air flow which takes place next to the vertical walls of the duct. </w:t>
      </w:r>
    </w:p>
    <w:p w:rsidR="007B675E" w:rsidRPr="007B675E" w:rsidRDefault="007B675E" w:rsidP="007B675E">
      <w:pPr>
        <w:pStyle w:val="PR1"/>
        <w:rPr>
          <w:rFonts w:cs="Arial"/>
          <w:szCs w:val="20"/>
        </w:rPr>
      </w:pPr>
      <w:r w:rsidRPr="007B675E">
        <w:rPr>
          <w:rFonts w:cs="Arial"/>
          <w:szCs w:val="20"/>
        </w:rPr>
        <w:t xml:space="preserve">The steam metering valves shall be of the (pneumatic) (electronic) normally closed type having linear flow characteristics and designed to close against the flow of steam.  The maximum valve capacity shall be as called for in the schedule.  The valve motor and humidity controller shall be furnished and installed by the Automatic Temperature Control subcontractor.  The valve shall be furnished by the (humidifier manufacturer) (Automatic Temperature Control subcontractor, with a </w:t>
      </w:r>
      <w:proofErr w:type="spellStart"/>
      <w:r w:rsidRPr="007B675E">
        <w:rPr>
          <w:rFonts w:cs="Arial"/>
          <w:szCs w:val="20"/>
        </w:rPr>
        <w:t>Cv</w:t>
      </w:r>
      <w:proofErr w:type="spellEnd"/>
      <w:r w:rsidRPr="007B675E">
        <w:rPr>
          <w:rFonts w:cs="Arial"/>
          <w:szCs w:val="20"/>
        </w:rPr>
        <w:t xml:space="preserve"> factor as specified by the humidifier manufacturer). </w:t>
      </w:r>
    </w:p>
    <w:p w:rsidR="0088207A" w:rsidRPr="00A843C8" w:rsidRDefault="007B675E" w:rsidP="00A843C8">
      <w:pPr>
        <w:pStyle w:val="PR1"/>
        <w:rPr>
          <w:rFonts w:cs="Arial"/>
          <w:szCs w:val="20"/>
        </w:rPr>
      </w:pPr>
      <w:r w:rsidRPr="007B675E">
        <w:rPr>
          <w:rFonts w:cs="Arial"/>
          <w:szCs w:val="20"/>
        </w:rPr>
        <w:t>Accessories to be supplied for each humidifier by the manufacturer include a pair of float and thermostatic steam traps, one to drain condensate from the separator and the other for the manifold, a pipe line strainer, and for each dispersion tube, an escutcheon plate to seal the duct opening.</w:t>
      </w:r>
    </w:p>
    <w:p w:rsidR="0039090D" w:rsidRDefault="0039090D" w:rsidP="0039090D">
      <w:pPr>
        <w:pStyle w:val="PRT"/>
        <w:numPr>
          <w:ilvl w:val="0"/>
          <w:numId w:val="0"/>
        </w:numPr>
        <w:rPr>
          <w:rFonts w:cs="Arial"/>
          <w:b/>
          <w:szCs w:val="20"/>
        </w:rPr>
      </w:pPr>
    </w:p>
    <w:p w:rsidR="0039090D" w:rsidRDefault="0039090D" w:rsidP="0039090D">
      <w:pPr>
        <w:pStyle w:val="PRT"/>
        <w:numPr>
          <w:ilvl w:val="0"/>
          <w:numId w:val="0"/>
        </w:numPr>
        <w:rPr>
          <w:rFonts w:cs="Arial"/>
          <w:b/>
          <w:szCs w:val="20"/>
        </w:rPr>
      </w:pPr>
    </w:p>
    <w:p w:rsidR="007B675E" w:rsidRPr="000A1068" w:rsidRDefault="00A041E5" w:rsidP="007B675E">
      <w:pPr>
        <w:pStyle w:val="PRT"/>
        <w:rPr>
          <w:rFonts w:cs="Arial"/>
          <w:b/>
          <w:szCs w:val="20"/>
        </w:rPr>
      </w:pPr>
      <w:r w:rsidRPr="00A041E5">
        <w:rPr>
          <w:rFonts w:cs="Arial"/>
          <w:b/>
          <w:szCs w:val="20"/>
        </w:rPr>
        <w:lastRenderedPageBreak/>
        <w:t>EXECUTION</w:t>
      </w:r>
    </w:p>
    <w:p w:rsidR="007B675E" w:rsidRPr="00F20F96" w:rsidRDefault="00A041E5" w:rsidP="00BA3CB9">
      <w:pPr>
        <w:pStyle w:val="ART"/>
      </w:pPr>
      <w:r w:rsidRPr="00A041E5">
        <w:t>INSTALLATION</w:t>
      </w:r>
    </w:p>
    <w:p w:rsidR="007B675E" w:rsidRPr="007B675E" w:rsidRDefault="007B675E" w:rsidP="007B675E">
      <w:pPr>
        <w:pStyle w:val="PR1"/>
        <w:rPr>
          <w:rFonts w:cs="Arial"/>
          <w:szCs w:val="20"/>
        </w:rPr>
      </w:pPr>
      <w:r w:rsidRPr="007B675E">
        <w:rPr>
          <w:rFonts w:cs="Arial"/>
          <w:szCs w:val="20"/>
        </w:rPr>
        <w:t>Install in accordance with manufacturer's instructions.</w:t>
      </w:r>
    </w:p>
    <w:p w:rsidR="007B675E" w:rsidRPr="007B675E" w:rsidRDefault="007B675E" w:rsidP="007B675E">
      <w:pPr>
        <w:pStyle w:val="PR1"/>
        <w:rPr>
          <w:rFonts w:cs="Arial"/>
          <w:szCs w:val="20"/>
        </w:rPr>
      </w:pPr>
      <w:r w:rsidRPr="007B675E">
        <w:rPr>
          <w:rFonts w:cs="Arial"/>
          <w:szCs w:val="20"/>
        </w:rPr>
        <w:t>Install to A</w:t>
      </w:r>
      <w:r w:rsidR="00DD1BC6">
        <w:rPr>
          <w:rFonts w:cs="Arial"/>
          <w:szCs w:val="20"/>
        </w:rPr>
        <w:t>H</w:t>
      </w:r>
      <w:r w:rsidRPr="007B675E">
        <w:rPr>
          <w:rFonts w:cs="Arial"/>
          <w:szCs w:val="20"/>
        </w:rPr>
        <w:t xml:space="preserve">RI </w:t>
      </w:r>
      <w:r w:rsidR="00626180">
        <w:rPr>
          <w:rFonts w:cs="Arial"/>
          <w:szCs w:val="20"/>
        </w:rPr>
        <w:t xml:space="preserve">640 </w:t>
      </w:r>
      <w:r w:rsidR="004E55A5">
        <w:rPr>
          <w:rFonts w:cs="Arial"/>
          <w:szCs w:val="20"/>
        </w:rPr>
        <w:t>– Performance Rating of Commer</w:t>
      </w:r>
      <w:r w:rsidR="00DD1BC6">
        <w:rPr>
          <w:rFonts w:cs="Arial"/>
          <w:szCs w:val="20"/>
        </w:rPr>
        <w:t>cial and Industrial Humidifiers</w:t>
      </w:r>
      <w:r w:rsidRPr="007B675E">
        <w:rPr>
          <w:rFonts w:cs="Arial"/>
          <w:szCs w:val="20"/>
        </w:rPr>
        <w:t>.</w:t>
      </w:r>
    </w:p>
    <w:p w:rsidR="007B675E" w:rsidRPr="007B675E" w:rsidRDefault="007B675E" w:rsidP="007B675E">
      <w:pPr>
        <w:pStyle w:val="PR1"/>
        <w:rPr>
          <w:rFonts w:cs="Arial"/>
          <w:szCs w:val="20"/>
        </w:rPr>
      </w:pPr>
      <w:r w:rsidRPr="007B675E">
        <w:rPr>
          <w:rFonts w:cs="Arial"/>
          <w:szCs w:val="20"/>
        </w:rPr>
        <w:t>Provide galvanized steel rods to support distribution manifolds and mount in air system plenums.</w:t>
      </w:r>
    </w:p>
    <w:p w:rsidR="007B675E" w:rsidRPr="007B675E" w:rsidRDefault="007B675E" w:rsidP="007B675E">
      <w:pPr>
        <w:pStyle w:val="PR1"/>
        <w:rPr>
          <w:rFonts w:cs="Arial"/>
          <w:szCs w:val="20"/>
        </w:rPr>
      </w:pPr>
      <w:r w:rsidRPr="007B675E">
        <w:rPr>
          <w:rFonts w:cs="Arial"/>
          <w:szCs w:val="20"/>
        </w:rPr>
        <w:t xml:space="preserve">Connect dry steam humidifiers to steam supply and to condensate piping.  Provide gate valve, inlet strainer, and inverted bucket steam trap.  Refer to Section </w:t>
      </w:r>
      <w:r w:rsidR="00774732">
        <w:rPr>
          <w:rFonts w:cs="Arial"/>
          <w:szCs w:val="20"/>
        </w:rPr>
        <w:t xml:space="preserve">23 22 00 and Section 23 22 </w:t>
      </w:r>
      <w:r w:rsidR="00C13673">
        <w:rPr>
          <w:rFonts w:cs="Arial"/>
          <w:szCs w:val="20"/>
        </w:rPr>
        <w:t>10</w:t>
      </w:r>
    </w:p>
    <w:p w:rsidR="00DB7618" w:rsidRPr="000A1068" w:rsidRDefault="00A041E5" w:rsidP="00686BB1">
      <w:pPr>
        <w:spacing w:before="480"/>
        <w:jc w:val="center"/>
        <w:rPr>
          <w:rFonts w:cs="Arial"/>
          <w:b/>
          <w:szCs w:val="20"/>
        </w:rPr>
      </w:pPr>
      <w:r w:rsidRPr="00A041E5">
        <w:rPr>
          <w:rFonts w:cs="Arial"/>
          <w:b/>
          <w:szCs w:val="20"/>
        </w:rPr>
        <w:t>END OF SECTION</w:t>
      </w:r>
      <w:r w:rsidR="000A1068">
        <w:rPr>
          <w:rFonts w:cs="Arial"/>
          <w:b/>
          <w:szCs w:val="20"/>
        </w:rPr>
        <w:t xml:space="preserve"> 23 84 13</w:t>
      </w:r>
    </w:p>
    <w:sectPr w:rsidR="00DB7618" w:rsidRPr="000A1068" w:rsidSect="00DE38EA">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1D0" w:rsidRDefault="009311D0" w:rsidP="00945B86">
      <w:r>
        <w:separator/>
      </w:r>
    </w:p>
  </w:endnote>
  <w:endnote w:type="continuationSeparator" w:id="0">
    <w:p w:rsidR="009311D0" w:rsidRDefault="009311D0"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FF" w:rsidRDefault="00093BFF" w:rsidP="00093BFF">
    <w:pPr>
      <w:pStyle w:val="Footer"/>
      <w:jc w:val="left"/>
    </w:pPr>
    <w:r>
      <w:t>STEAM GRID HUMIDIFIERS</w:t>
    </w:r>
  </w:p>
  <w:p w:rsidR="00F76F68" w:rsidRDefault="00F76F68" w:rsidP="0089469A">
    <w:pPr>
      <w:pStyle w:val="Footer"/>
      <w:jc w:val="left"/>
    </w:pPr>
    <w:r>
      <w:t>23 84 13</w:t>
    </w:r>
  </w:p>
  <w:p w:rsidR="00F76F68" w:rsidRDefault="009311D0" w:rsidP="0089469A">
    <w:pPr>
      <w:pStyle w:val="Footer"/>
      <w:jc w:val="left"/>
    </w:pPr>
    <w:sdt>
      <w:sdtPr>
        <w:id w:val="455089142"/>
        <w:docPartObj>
          <w:docPartGallery w:val="Page Numbers (Bottom of Page)"/>
          <w:docPartUnique/>
        </w:docPartObj>
      </w:sdtPr>
      <w:sdtEndPr>
        <w:rPr>
          <w:noProof/>
        </w:rPr>
      </w:sdtEndPr>
      <w:sdtContent>
        <w:r w:rsidR="00093BFF">
          <w:fldChar w:fldCharType="begin"/>
        </w:r>
        <w:r w:rsidR="00093BFF">
          <w:instrText xml:space="preserve"> PAGE   \* MERGEFORMAT </w:instrText>
        </w:r>
        <w:r w:rsidR="00093BFF">
          <w:fldChar w:fldCharType="separate"/>
        </w:r>
        <w:r w:rsidR="00DE38EA">
          <w:rPr>
            <w:noProof/>
          </w:rPr>
          <w:t>2</w:t>
        </w:r>
        <w:r w:rsidR="00093BFF">
          <w:rPr>
            <w:noProof/>
          </w:rPr>
          <w:fldChar w:fldCharType="end"/>
        </w:r>
      </w:sdtContent>
    </w:sdt>
    <w:r w:rsidR="00F76F68">
      <w:rPr>
        <w:noProof/>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BFF" w:rsidRDefault="00093BFF" w:rsidP="00093BFF">
    <w:pPr>
      <w:pStyle w:val="Footer"/>
      <w:jc w:val="right"/>
    </w:pPr>
    <w:r>
      <w:t>STEAM GRID HUMIDIFIERS</w:t>
    </w:r>
  </w:p>
  <w:p w:rsidR="00164B8D" w:rsidRDefault="00164B8D" w:rsidP="0089469A">
    <w:pPr>
      <w:pStyle w:val="Footer"/>
      <w:jc w:val="right"/>
    </w:pPr>
    <w:r>
      <w:t>23 84 13</w:t>
    </w:r>
  </w:p>
  <w:p w:rsidR="00164B8D" w:rsidRDefault="009311D0" w:rsidP="0089469A">
    <w:pPr>
      <w:pStyle w:val="Footer"/>
      <w:jc w:val="right"/>
    </w:pPr>
    <w:sdt>
      <w:sdtPr>
        <w:id w:val="-163245467"/>
        <w:docPartObj>
          <w:docPartGallery w:val="Page Numbers (Bottom of Page)"/>
          <w:docPartUnique/>
        </w:docPartObj>
      </w:sdtPr>
      <w:sdtEndPr>
        <w:rPr>
          <w:noProof/>
        </w:rPr>
      </w:sdtEndPr>
      <w:sdtContent>
        <w:r w:rsidR="00041776">
          <w:fldChar w:fldCharType="begin"/>
        </w:r>
        <w:r w:rsidR="00164B8D">
          <w:instrText xml:space="preserve"> PAGE   \* MERGEFORMAT </w:instrText>
        </w:r>
        <w:r w:rsidR="00041776">
          <w:fldChar w:fldCharType="separate"/>
        </w:r>
        <w:r w:rsidR="00DE38EA">
          <w:rPr>
            <w:noProof/>
          </w:rPr>
          <w:t>1</w:t>
        </w:r>
        <w:r w:rsidR="00041776">
          <w:rPr>
            <w:noProof/>
          </w:rPr>
          <w:fldChar w:fldCharType="end"/>
        </w:r>
      </w:sdtContent>
    </w:sdt>
    <w:r w:rsidR="00164B8D">
      <w:rPr>
        <w:noProof/>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1D0" w:rsidRDefault="009311D0" w:rsidP="00945B86">
      <w:r>
        <w:separator/>
      </w:r>
    </w:p>
  </w:footnote>
  <w:footnote w:type="continuationSeparator" w:id="0">
    <w:p w:rsidR="009311D0" w:rsidRDefault="009311D0"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66A656E4"/>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3CA11E7E"/>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3"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4"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5" w15:restartNumberingAfterBreak="0">
    <w:nsid w:val="52BD57D7"/>
    <w:multiLevelType w:val="singleLevel"/>
    <w:tmpl w:val="117C09D0"/>
    <w:lvl w:ilvl="0">
      <w:start w:val="10"/>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abstractNum w:abstractNumId="6" w15:restartNumberingAfterBreak="0">
    <w:nsid w:val="56C04A31"/>
    <w:multiLevelType w:val="singleLevel"/>
    <w:tmpl w:val="1F2C36A0"/>
    <w:lvl w:ilvl="0">
      <w:start w:val="4"/>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7" w15:restartNumberingAfterBreak="0">
    <w:nsid w:val="5ADF6DBA"/>
    <w:multiLevelType w:val="singleLevel"/>
    <w:tmpl w:val="A82E9E9A"/>
    <w:lvl w:ilvl="0">
      <w:start w:val="2"/>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8" w15:restartNumberingAfterBreak="0">
    <w:nsid w:val="5AFF2BFA"/>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9" w15:restartNumberingAfterBreak="0">
    <w:nsid w:val="5EA64A85"/>
    <w:multiLevelType w:val="singleLevel"/>
    <w:tmpl w:val="1CB6CE92"/>
    <w:lvl w:ilvl="0">
      <w:start w:val="7"/>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0" w15:restartNumberingAfterBreak="0">
    <w:nsid w:val="606C60E2"/>
    <w:multiLevelType w:val="singleLevel"/>
    <w:tmpl w:val="1992602C"/>
    <w:lvl w:ilvl="0">
      <w:start w:val="1"/>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1" w15:restartNumberingAfterBreak="0">
    <w:nsid w:val="69B645EE"/>
    <w:multiLevelType w:val="singleLevel"/>
    <w:tmpl w:val="EADEC3B6"/>
    <w:lvl w:ilvl="0">
      <w:start w:val="1"/>
      <w:numFmt w:val="decimal"/>
      <w:lvlText w:val="%1. "/>
      <w:legacy w:legacy="1" w:legacySpace="0" w:legacyIndent="360"/>
      <w:lvlJc w:val="left"/>
      <w:pPr>
        <w:ind w:left="1530" w:hanging="360"/>
      </w:pPr>
      <w:rPr>
        <w:rFonts w:ascii="Times New Roman" w:hAnsi="Times New Roman" w:cs="Times New Roman" w:hint="default"/>
        <w:b w:val="0"/>
        <w:i w:val="0"/>
        <w:sz w:val="24"/>
        <w:u w:val="none"/>
      </w:rPr>
    </w:lvl>
  </w:abstractNum>
  <w:abstractNum w:abstractNumId="12"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abstractNum w:abstractNumId="13" w15:restartNumberingAfterBreak="0">
    <w:nsid w:val="74DB3D7B"/>
    <w:multiLevelType w:val="singleLevel"/>
    <w:tmpl w:val="AA52B942"/>
    <w:lvl w:ilvl="0">
      <w:start w:val="3"/>
      <w:numFmt w:val="upperLetter"/>
      <w:lvlText w:val="%1. "/>
      <w:legacy w:legacy="1" w:legacySpace="0" w:legacyIndent="360"/>
      <w:lvlJc w:val="left"/>
      <w:pPr>
        <w:ind w:left="945" w:hanging="360"/>
      </w:pPr>
      <w:rPr>
        <w:rFonts w:ascii="Times New Roman" w:hAnsi="Times New Roman" w:cs="Times New Roman" w:hint="default"/>
        <w:b w:val="0"/>
        <w:i w:val="0"/>
        <w:sz w:val="24"/>
        <w:u w:val="none"/>
      </w:rPr>
    </w:lvl>
  </w:abstractNum>
  <w:abstractNum w:abstractNumId="14" w15:restartNumberingAfterBreak="0">
    <w:nsid w:val="7CDF3E72"/>
    <w:multiLevelType w:val="singleLevel"/>
    <w:tmpl w:val="99387AE0"/>
    <w:lvl w:ilvl="0">
      <w:start w:val="14"/>
      <w:numFmt w:val="decimal"/>
      <w:lvlText w:val="2.%1 "/>
      <w:legacy w:legacy="1" w:legacySpace="0" w:legacyIndent="360"/>
      <w:lvlJc w:val="left"/>
      <w:pPr>
        <w:ind w:left="360" w:hanging="360"/>
      </w:pPr>
      <w:rPr>
        <w:rFonts w:ascii="Times New Roman" w:hAnsi="Times New Roman" w:cs="Times New Roman" w:hint="default"/>
        <w:b w:val="0"/>
        <w:i w:val="0"/>
        <w:sz w:val="24"/>
        <w:u w:val="none"/>
      </w:rPr>
    </w:lvl>
  </w:abstractNum>
  <w:num w:numId="1">
    <w:abstractNumId w:val="12"/>
    <w:lvlOverride w:ilvl="0">
      <w:startOverride w:val="3"/>
    </w:lvlOverride>
  </w:num>
  <w:num w:numId="2">
    <w:abstractNumId w:val="1"/>
    <w:lvlOverride w:ilvl="0">
      <w:startOverride w:val="1"/>
    </w:lvlOverride>
  </w:num>
  <w:num w:numId="3">
    <w:abstractNumId w:val="3"/>
    <w:lvlOverride w:ilvl="0">
      <w:startOverride w:val="1"/>
    </w:lvlOverride>
  </w:num>
  <w:num w:numId="4">
    <w:abstractNumId w:val="4"/>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12"/>
  </w:num>
  <w:num w:numId="8">
    <w:abstractNumId w:val="4"/>
  </w:num>
  <w:num w:numId="9">
    <w:abstractNumId w:val="11"/>
  </w:num>
  <w:num w:numId="10">
    <w:abstractNumId w:val="8"/>
  </w:num>
  <w:num w:numId="11">
    <w:abstractNumId w:val="5"/>
  </w:num>
  <w:num w:numId="12">
    <w:abstractNumId w:val="10"/>
  </w:num>
  <w:num w:numId="13">
    <w:abstractNumId w:val="14"/>
  </w:num>
  <w:num w:numId="14">
    <w:abstractNumId w:val="2"/>
  </w:num>
  <w:num w:numId="15">
    <w:abstractNumId w:val="7"/>
  </w:num>
  <w:num w:numId="16">
    <w:abstractNumId w:val="13"/>
  </w:num>
  <w:num w:numId="17">
    <w:abstractNumId w:val="6"/>
  </w:num>
  <w:num w:numId="18">
    <w:abstractNumId w:val="9"/>
  </w:num>
  <w:num w:numId="19">
    <w:abstractNumId w:val="9"/>
    <w:lvlOverride w:ilvl="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2B7C"/>
    <w:rsid w:val="00041776"/>
    <w:rsid w:val="00064049"/>
    <w:rsid w:val="00070515"/>
    <w:rsid w:val="00082434"/>
    <w:rsid w:val="00093BFF"/>
    <w:rsid w:val="00094FE5"/>
    <w:rsid w:val="000A1068"/>
    <w:rsid w:val="000E367B"/>
    <w:rsid w:val="00140A77"/>
    <w:rsid w:val="00164B8D"/>
    <w:rsid w:val="001B2721"/>
    <w:rsid w:val="0022539C"/>
    <w:rsid w:val="00234738"/>
    <w:rsid w:val="002779DE"/>
    <w:rsid w:val="002D0006"/>
    <w:rsid w:val="00336554"/>
    <w:rsid w:val="0034375A"/>
    <w:rsid w:val="00344D7F"/>
    <w:rsid w:val="00360651"/>
    <w:rsid w:val="0038021F"/>
    <w:rsid w:val="0039090D"/>
    <w:rsid w:val="00397714"/>
    <w:rsid w:val="003A10E2"/>
    <w:rsid w:val="003D4F0F"/>
    <w:rsid w:val="00471C40"/>
    <w:rsid w:val="004E44EA"/>
    <w:rsid w:val="004E55A5"/>
    <w:rsid w:val="00512B32"/>
    <w:rsid w:val="00512D46"/>
    <w:rsid w:val="005B2552"/>
    <w:rsid w:val="005D76EF"/>
    <w:rsid w:val="00613C14"/>
    <w:rsid w:val="00614401"/>
    <w:rsid w:val="00626180"/>
    <w:rsid w:val="0064189D"/>
    <w:rsid w:val="006430D7"/>
    <w:rsid w:val="00686BB1"/>
    <w:rsid w:val="00692DC5"/>
    <w:rsid w:val="006B15DD"/>
    <w:rsid w:val="00774732"/>
    <w:rsid w:val="00792189"/>
    <w:rsid w:val="007A3BDF"/>
    <w:rsid w:val="007A403C"/>
    <w:rsid w:val="007B675E"/>
    <w:rsid w:val="007B69F8"/>
    <w:rsid w:val="007E6FD5"/>
    <w:rsid w:val="00830D78"/>
    <w:rsid w:val="00833B50"/>
    <w:rsid w:val="00856299"/>
    <w:rsid w:val="00864FEC"/>
    <w:rsid w:val="0088207A"/>
    <w:rsid w:val="0089469A"/>
    <w:rsid w:val="008B6978"/>
    <w:rsid w:val="00905AA9"/>
    <w:rsid w:val="00916FCE"/>
    <w:rsid w:val="00926B35"/>
    <w:rsid w:val="009311D0"/>
    <w:rsid w:val="00945B86"/>
    <w:rsid w:val="00953B4B"/>
    <w:rsid w:val="009C3BFF"/>
    <w:rsid w:val="009E0EEF"/>
    <w:rsid w:val="009E13C3"/>
    <w:rsid w:val="009F3B5D"/>
    <w:rsid w:val="00A041E5"/>
    <w:rsid w:val="00A13E50"/>
    <w:rsid w:val="00A24390"/>
    <w:rsid w:val="00A40A5C"/>
    <w:rsid w:val="00A40D6E"/>
    <w:rsid w:val="00A41746"/>
    <w:rsid w:val="00A70C45"/>
    <w:rsid w:val="00A843C8"/>
    <w:rsid w:val="00AA2666"/>
    <w:rsid w:val="00AD4C71"/>
    <w:rsid w:val="00B04478"/>
    <w:rsid w:val="00B324C0"/>
    <w:rsid w:val="00B727BD"/>
    <w:rsid w:val="00BA3CB9"/>
    <w:rsid w:val="00BA41F0"/>
    <w:rsid w:val="00C041D1"/>
    <w:rsid w:val="00C13673"/>
    <w:rsid w:val="00C727B1"/>
    <w:rsid w:val="00C739D0"/>
    <w:rsid w:val="00C74CC7"/>
    <w:rsid w:val="00C82E66"/>
    <w:rsid w:val="00CE4F43"/>
    <w:rsid w:val="00D44A17"/>
    <w:rsid w:val="00DB5055"/>
    <w:rsid w:val="00DB7561"/>
    <w:rsid w:val="00DB7618"/>
    <w:rsid w:val="00DC7242"/>
    <w:rsid w:val="00DD1BC6"/>
    <w:rsid w:val="00DE38EA"/>
    <w:rsid w:val="00E142C8"/>
    <w:rsid w:val="00E54E95"/>
    <w:rsid w:val="00E86CC4"/>
    <w:rsid w:val="00E92A67"/>
    <w:rsid w:val="00E9611B"/>
    <w:rsid w:val="00EE3E86"/>
    <w:rsid w:val="00EF11FC"/>
    <w:rsid w:val="00F12901"/>
    <w:rsid w:val="00F20F96"/>
    <w:rsid w:val="00F614E8"/>
    <w:rsid w:val="00F621BD"/>
    <w:rsid w:val="00F76F68"/>
    <w:rsid w:val="00F97A6E"/>
    <w:rsid w:val="00FB6853"/>
    <w:rsid w:val="00FF4798"/>
    <w:rsid w:val="00FF69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69878"/>
  <w15:docId w15:val="{792BCCC0-A7CA-4A96-8E8A-51C266E94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611B"/>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BA3CB9"/>
    <w:pPr>
      <w:numPr>
        <w:ilvl w:val="1"/>
        <w:numId w:val="5"/>
      </w:numPr>
      <w:spacing w:after="200"/>
    </w:pPr>
    <w:rPr>
      <w:rFonts w:cs="Arial"/>
      <w:b/>
      <w:caps/>
      <w:szCs w:val="20"/>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table" w:styleId="TableGrid">
    <w:name w:val="Table Grid"/>
    <w:basedOn w:val="TableNormal"/>
    <w:uiPriority w:val="59"/>
    <w:rsid w:val="0009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375A"/>
    <w:rPr>
      <w:sz w:val="16"/>
      <w:szCs w:val="16"/>
    </w:rPr>
  </w:style>
  <w:style w:type="paragraph" w:styleId="CommentText">
    <w:name w:val="annotation text"/>
    <w:basedOn w:val="Normal"/>
    <w:link w:val="CommentTextChar"/>
    <w:uiPriority w:val="99"/>
    <w:semiHidden/>
    <w:unhideWhenUsed/>
    <w:rsid w:val="0034375A"/>
    <w:rPr>
      <w:szCs w:val="20"/>
    </w:rPr>
  </w:style>
  <w:style w:type="character" w:customStyle="1" w:styleId="CommentTextChar">
    <w:name w:val="Comment Text Char"/>
    <w:basedOn w:val="DefaultParagraphFont"/>
    <w:link w:val="CommentText"/>
    <w:uiPriority w:val="99"/>
    <w:semiHidden/>
    <w:rsid w:val="003437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4375A"/>
    <w:rPr>
      <w:b/>
      <w:bCs/>
    </w:rPr>
  </w:style>
  <w:style w:type="character" w:customStyle="1" w:styleId="CommentSubjectChar">
    <w:name w:val="Comment Subject Char"/>
    <w:basedOn w:val="CommentTextChar"/>
    <w:link w:val="CommentSubject"/>
    <w:uiPriority w:val="99"/>
    <w:semiHidden/>
    <w:rsid w:val="0034375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34375A"/>
    <w:rPr>
      <w:rFonts w:ascii="Tahoma" w:hAnsi="Tahoma" w:cs="Tahoma"/>
      <w:sz w:val="16"/>
      <w:szCs w:val="16"/>
    </w:rPr>
  </w:style>
  <w:style w:type="character" w:customStyle="1" w:styleId="BalloonTextChar">
    <w:name w:val="Balloon Text Char"/>
    <w:basedOn w:val="DefaultParagraphFont"/>
    <w:link w:val="BalloonText"/>
    <w:uiPriority w:val="99"/>
    <w:semiHidden/>
    <w:rsid w:val="0034375A"/>
    <w:rPr>
      <w:rFonts w:ascii="Tahoma" w:eastAsia="Times New Roman" w:hAnsi="Tahoma" w:cs="Tahoma"/>
      <w:sz w:val="16"/>
      <w:szCs w:val="16"/>
    </w:rPr>
  </w:style>
  <w:style w:type="table" w:customStyle="1" w:styleId="TableGrid1">
    <w:name w:val="Table Grid1"/>
    <w:basedOn w:val="TableNormal"/>
    <w:next w:val="TableGrid"/>
    <w:uiPriority w:val="59"/>
    <w:rsid w:val="00DE3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E3CD2B-7360-4A2D-A0EB-F98FB6629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2017-06-12T19:55:00Z</dcterms:created>
  <dcterms:modified xsi:type="dcterms:W3CDTF">2022-10-17T17:46:00Z</dcterms:modified>
</cp:coreProperties>
</file>