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509277082"/>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BC4F38" w:rsidRPr="00353FF9" w:rsidTr="00717FBA">
            <w:trPr>
              <w:trHeight w:val="835"/>
            </w:trPr>
            <w:tc>
              <w:tcPr>
                <w:tcW w:w="6625" w:type="dxa"/>
              </w:tcPr>
              <w:p w:rsidR="00BC4F38" w:rsidRPr="00353FF9" w:rsidRDefault="003548BC"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BC4F38" w:rsidRPr="00353FF9" w:rsidRDefault="00BC4F38"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52A971"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BC4F38" w:rsidRPr="00353FF9" w:rsidRDefault="00BC4F38"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3548BC">
                  <w:rPr>
                    <w:rFonts w:ascii="MrsEaves" w:hAnsi="MrsEaves"/>
                    <w:b/>
                    <w:color w:val="44546A" w:themeColor="text2"/>
                    <w:sz w:val="18"/>
                    <w:szCs w:val="18"/>
                  </w:rPr>
                  <w:t>Engineering</w:t>
                </w:r>
              </w:p>
              <w:p w:rsidR="00BC4F38" w:rsidRPr="00353FF9" w:rsidRDefault="003548BC"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BC4F38" w:rsidRPr="00353FF9" w:rsidRDefault="003548BC"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BC4F38" w:rsidRPr="00353FF9">
                  <w:rPr>
                    <w:rFonts w:ascii="MrsEaves" w:hAnsi="MrsEaves"/>
                    <w:color w:val="000000" w:themeColor="text1"/>
                    <w:sz w:val="16"/>
                    <w:szCs w:val="16"/>
                  </w:rPr>
                  <w:t>, Texas 7</w:t>
                </w:r>
                <w:r>
                  <w:rPr>
                    <w:rFonts w:ascii="MrsEaves" w:hAnsi="MrsEaves"/>
                    <w:color w:val="000000" w:themeColor="text1"/>
                    <w:sz w:val="16"/>
                    <w:szCs w:val="16"/>
                  </w:rPr>
                  <w:t>7030</w:t>
                </w:r>
              </w:p>
              <w:p w:rsidR="00BC4F38" w:rsidRPr="003548BC" w:rsidRDefault="003548BC" w:rsidP="00353FF9">
                <w:pPr>
                  <w:tabs>
                    <w:tab w:val="center" w:pos="4680"/>
                    <w:tab w:val="right" w:pos="9360"/>
                  </w:tabs>
                  <w:rPr>
                    <w:b/>
                    <w:smallCaps/>
                    <w:color w:val="DF6427"/>
                    <w:sz w:val="14"/>
                    <w:szCs w:val="14"/>
                  </w:rPr>
                </w:pPr>
                <w:r w:rsidRPr="003548BC">
                  <w:rPr>
                    <w:rFonts w:ascii="Mrs Eaves OT Bold" w:hAnsi="Mrs Eaves OT Bold"/>
                    <w:b/>
                    <w:smallCaps/>
                    <w:color w:val="44546A" w:themeColor="text2"/>
                    <w:sz w:val="18"/>
                    <w:szCs w:val="18"/>
                  </w:rPr>
                  <w:t>www.uth.edu</w:t>
                </w:r>
              </w:p>
            </w:tc>
          </w:tr>
        </w:tbl>
        <w:p w:rsidR="00BC4F38" w:rsidRDefault="00BC4F38">
          <w:pPr>
            <w:rPr>
              <w:rFonts w:ascii="Times New Roman" w:hAnsi="Times New Roman"/>
            </w:rPr>
          </w:pPr>
        </w:p>
        <w:p w:rsidR="00BC4F38" w:rsidRDefault="00BC4F38" w:rsidP="00F05665">
          <w:pPr>
            <w:tabs>
              <w:tab w:val="left" w:pos="7685"/>
            </w:tabs>
          </w:pPr>
        </w:p>
        <w:p w:rsidR="00BC4F38" w:rsidRDefault="00BC4F38" w:rsidP="00F05665">
          <w:pPr>
            <w:tabs>
              <w:tab w:val="left" w:pos="7685"/>
            </w:tabs>
          </w:pPr>
        </w:p>
        <w:p w:rsidR="00BC4F38" w:rsidRDefault="003548BC" w:rsidP="009E6D1F">
          <w:pPr>
            <w:spacing w:before="120"/>
            <w:jc w:val="center"/>
            <w:rPr>
              <w:rFonts w:cs="Arial"/>
              <w:b/>
              <w:i/>
              <w:color w:val="800000"/>
              <w:sz w:val="36"/>
            </w:rPr>
          </w:pPr>
          <w:r>
            <w:rPr>
              <w:rFonts w:cs="Arial"/>
              <w:b/>
              <w:i/>
              <w:color w:val="800000"/>
              <w:sz w:val="36"/>
            </w:rPr>
            <w:t>UTHealth FPE</w:t>
          </w:r>
          <w:r w:rsidR="00BC4F38">
            <w:rPr>
              <w:rFonts w:cs="Arial"/>
              <w:b/>
              <w:i/>
              <w:color w:val="800000"/>
              <w:sz w:val="36"/>
            </w:rPr>
            <w:t xml:space="preserve"> Standard Specification</w:t>
          </w:r>
        </w:p>
        <w:p w:rsidR="00BC4F38" w:rsidRDefault="00BC4F38" w:rsidP="009E6D1F">
          <w:pPr>
            <w:jc w:val="center"/>
            <w:rPr>
              <w:rFonts w:cs="Arial"/>
              <w:b/>
              <w:color w:val="800000"/>
              <w:sz w:val="24"/>
              <w:szCs w:val="24"/>
            </w:rPr>
          </w:pPr>
        </w:p>
        <w:p w:rsidR="00BC4F38" w:rsidRDefault="00BC4F38"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3 33 00</w:t>
          </w:r>
        </w:p>
        <w:p w:rsidR="00BC4F38" w:rsidRPr="009E6D1F" w:rsidRDefault="00BC4F38" w:rsidP="009E6D1F">
          <w:pPr>
            <w:jc w:val="center"/>
            <w:rPr>
              <w:rFonts w:cs="Arial"/>
              <w:b/>
              <w:color w:val="800000"/>
              <w:sz w:val="24"/>
              <w:szCs w:val="24"/>
            </w:rPr>
          </w:pPr>
        </w:p>
        <w:p w:rsidR="00BC4F38" w:rsidRDefault="00BC4F38" w:rsidP="009E6D1F">
          <w:pPr>
            <w:tabs>
              <w:tab w:val="center" w:pos="4680"/>
            </w:tabs>
            <w:suppressAutoHyphens/>
            <w:jc w:val="center"/>
            <w:rPr>
              <w:rFonts w:cs="Arial"/>
              <w:b/>
              <w:color w:val="800000"/>
              <w:sz w:val="24"/>
              <w:szCs w:val="24"/>
            </w:rPr>
          </w:pPr>
          <w:r>
            <w:rPr>
              <w:rFonts w:cs="Arial"/>
              <w:b/>
              <w:color w:val="800000"/>
              <w:sz w:val="24"/>
              <w:szCs w:val="24"/>
            </w:rPr>
            <w:t>DUCTWORK ACCESSORIES</w:t>
          </w:r>
        </w:p>
        <w:p w:rsidR="00BC4F38" w:rsidRPr="009E6D1F" w:rsidRDefault="00BC4F38" w:rsidP="009E6D1F">
          <w:pPr>
            <w:tabs>
              <w:tab w:val="center" w:pos="4680"/>
            </w:tabs>
            <w:suppressAutoHyphens/>
            <w:jc w:val="center"/>
            <w:rPr>
              <w:rFonts w:cs="Arial"/>
              <w:b/>
              <w:color w:val="FF0000"/>
              <w:sz w:val="24"/>
              <w:szCs w:val="24"/>
            </w:rPr>
          </w:pPr>
        </w:p>
        <w:p w:rsidR="00BC4F38" w:rsidRDefault="00BC4F38" w:rsidP="009E6D1F">
          <w:pPr>
            <w:spacing w:line="240" w:lineRule="atLeast"/>
            <w:ind w:right="-288"/>
            <w:jc w:val="both"/>
            <w:rPr>
              <w:rFonts w:cs="Arial"/>
              <w:i/>
            </w:rPr>
          </w:pPr>
        </w:p>
        <w:p w:rsidR="003548BC" w:rsidRDefault="00BC4F38" w:rsidP="003548BC">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3548BC">
            <w:rPr>
              <w:rFonts w:cs="Arial"/>
              <w:color w:val="0000FF"/>
              <w:u w:val="single"/>
            </w:rPr>
            <w:t>h.edu</w:t>
          </w:r>
          <w:r>
            <w:rPr>
              <w:rFonts w:cs="Arial"/>
              <w:i/>
            </w:rPr>
            <w:t xml:space="preserve"> or contact the Office of Facilities Planning and</w:t>
          </w:r>
          <w:r w:rsidR="003548BC">
            <w:rPr>
              <w:rFonts w:cs="Arial"/>
              <w:i/>
            </w:rPr>
            <w:t xml:space="preserve"> Engineering</w:t>
          </w:r>
        </w:p>
        <w:p w:rsidR="00BC4F38" w:rsidRDefault="00BC4F38" w:rsidP="009E6D1F">
          <w:pPr>
            <w:tabs>
              <w:tab w:val="left" w:pos="7685"/>
            </w:tabs>
            <w:rPr>
              <w:rFonts w:cs="Arial"/>
              <w:i/>
            </w:rPr>
          </w:pPr>
          <w:r>
            <w:rPr>
              <w:rFonts w:cs="Arial"/>
              <w:i/>
            </w:rPr>
            <w:t>.</w:t>
          </w:r>
        </w:p>
        <w:p w:rsidR="00BC4F38" w:rsidRDefault="00BC4F38"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BC4F38" w:rsidRPr="009E6D1F" w:rsidTr="00717FBA">
            <w:trPr>
              <w:cantSplit/>
              <w:jc w:val="right"/>
            </w:trPr>
            <w:tc>
              <w:tcPr>
                <w:tcW w:w="1454" w:type="dxa"/>
                <w:tcBorders>
                  <w:top w:val="double" w:sz="6" w:space="0" w:color="auto"/>
                  <w:left w:val="double" w:sz="6" w:space="0" w:color="auto"/>
                  <w:bottom w:val="double" w:sz="6" w:space="0" w:color="auto"/>
                </w:tcBorders>
              </w:tcPr>
              <w:p w:rsidR="00BC4F38" w:rsidRPr="009E6D1F" w:rsidRDefault="00BC4F38"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BC4F38" w:rsidRPr="009E6D1F" w:rsidRDefault="00BC4F38"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BC4F38" w:rsidRPr="009E6D1F" w:rsidRDefault="00BC4F38"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BC4F38" w:rsidRPr="009E6D1F" w:rsidRDefault="00BC4F38" w:rsidP="009E6D1F">
                <w:pPr>
                  <w:jc w:val="center"/>
                  <w:rPr>
                    <w:rFonts w:ascii="Times New Roman" w:hAnsi="Times New Roman"/>
                    <w:sz w:val="24"/>
                    <w:szCs w:val="24"/>
                  </w:rPr>
                </w:pPr>
                <w:r w:rsidRPr="009E6D1F">
                  <w:rPr>
                    <w:rFonts w:ascii="Times New Roman" w:hAnsi="Times New Roman"/>
                    <w:sz w:val="24"/>
                    <w:szCs w:val="24"/>
                  </w:rPr>
                  <w:t>Remarks</w:t>
                </w:r>
              </w:p>
            </w:tc>
          </w:tr>
          <w:tr w:rsidR="00BC4F38" w:rsidRPr="009E6D1F" w:rsidTr="00717FBA">
            <w:trPr>
              <w:cantSplit/>
              <w:jc w:val="right"/>
            </w:trPr>
            <w:tc>
              <w:tcPr>
                <w:tcW w:w="1454" w:type="dxa"/>
                <w:tcBorders>
                  <w:left w:val="double" w:sz="6" w:space="0" w:color="auto"/>
                </w:tcBorders>
              </w:tcPr>
              <w:p w:rsidR="00BC4F38" w:rsidRPr="00BC4F38" w:rsidRDefault="00BC4F38" w:rsidP="00BC4F38">
                <w:pPr>
                  <w:jc w:val="center"/>
                  <w:rPr>
                    <w:rFonts w:cs="Arial"/>
                  </w:rPr>
                </w:pPr>
                <w:r w:rsidRPr="00BC4F38">
                  <w:rPr>
                    <w:rFonts w:cs="Arial"/>
                  </w:rPr>
                  <w:t>0</w:t>
                </w:r>
              </w:p>
            </w:tc>
            <w:tc>
              <w:tcPr>
                <w:tcW w:w="2088" w:type="dxa"/>
                <w:tcBorders>
                  <w:left w:val="single" w:sz="6" w:space="0" w:color="auto"/>
                </w:tcBorders>
              </w:tcPr>
              <w:p w:rsidR="00BC4F38" w:rsidRPr="00BC4F38" w:rsidRDefault="003548BC" w:rsidP="00BC4F38">
                <w:pPr>
                  <w:jc w:val="center"/>
                  <w:rPr>
                    <w:rFonts w:cs="Arial"/>
                  </w:rPr>
                </w:pPr>
                <w:r>
                  <w:rPr>
                    <w:rFonts w:cs="Arial"/>
                  </w:rPr>
                  <w:t>October 2022</w:t>
                </w:r>
              </w:p>
            </w:tc>
            <w:tc>
              <w:tcPr>
                <w:tcW w:w="1368" w:type="dxa"/>
                <w:tcBorders>
                  <w:left w:val="single" w:sz="6" w:space="0" w:color="auto"/>
                </w:tcBorders>
              </w:tcPr>
              <w:p w:rsidR="00BC4F38" w:rsidRPr="00BC4F38" w:rsidRDefault="003548BC" w:rsidP="00BC4F38">
                <w:pPr>
                  <w:jc w:val="center"/>
                  <w:rPr>
                    <w:rFonts w:cs="Arial"/>
                  </w:rPr>
                </w:pPr>
                <w:r>
                  <w:rPr>
                    <w:rFonts w:cs="Arial"/>
                  </w:rPr>
                  <w:t>8</w:t>
                </w:r>
              </w:p>
            </w:tc>
            <w:tc>
              <w:tcPr>
                <w:tcW w:w="4733" w:type="dxa"/>
                <w:tcBorders>
                  <w:left w:val="single" w:sz="6" w:space="0" w:color="auto"/>
                  <w:right w:val="double" w:sz="6" w:space="0" w:color="auto"/>
                </w:tcBorders>
              </w:tcPr>
              <w:p w:rsidR="00BC4F38" w:rsidRPr="00BC4F38" w:rsidRDefault="003548BC" w:rsidP="00BC4F38">
                <w:pPr>
                  <w:jc w:val="center"/>
                  <w:rPr>
                    <w:rFonts w:cs="Arial"/>
                  </w:rPr>
                </w:pPr>
                <w:r>
                  <w:rPr>
                    <w:rFonts w:cs="Arial"/>
                  </w:rPr>
                  <w:t>Issuance</w:t>
                </w:r>
              </w:p>
            </w:tc>
          </w:tr>
          <w:tr w:rsidR="00BC4F38" w:rsidRPr="009E6D1F" w:rsidTr="00717FBA">
            <w:trPr>
              <w:cantSplit/>
              <w:jc w:val="right"/>
            </w:trPr>
            <w:tc>
              <w:tcPr>
                <w:tcW w:w="1454" w:type="dxa"/>
                <w:tcBorders>
                  <w:top w:val="single" w:sz="6" w:space="0" w:color="auto"/>
                  <w:left w:val="double" w:sz="6" w:space="0" w:color="auto"/>
                  <w:bottom w:val="single" w:sz="6" w:space="0" w:color="auto"/>
                </w:tcBorders>
              </w:tcPr>
              <w:p w:rsidR="00BC4F38" w:rsidRPr="00BC4F38" w:rsidRDefault="00BC4F38" w:rsidP="00BC4F38">
                <w:pPr>
                  <w:jc w:val="center"/>
                  <w:rPr>
                    <w:rFonts w:cs="Arial"/>
                  </w:rPr>
                </w:pPr>
              </w:p>
            </w:tc>
            <w:tc>
              <w:tcPr>
                <w:tcW w:w="2088" w:type="dxa"/>
                <w:tcBorders>
                  <w:top w:val="single" w:sz="6" w:space="0" w:color="auto"/>
                  <w:left w:val="single" w:sz="6" w:space="0" w:color="auto"/>
                  <w:bottom w:val="single" w:sz="6" w:space="0" w:color="auto"/>
                </w:tcBorders>
              </w:tcPr>
              <w:p w:rsidR="00BC4F38" w:rsidRPr="00BC4F38" w:rsidRDefault="00BC4F38" w:rsidP="00BC4F38">
                <w:pPr>
                  <w:jc w:val="center"/>
                  <w:rPr>
                    <w:rFonts w:cs="Arial"/>
                  </w:rPr>
                </w:pPr>
              </w:p>
            </w:tc>
            <w:tc>
              <w:tcPr>
                <w:tcW w:w="1368" w:type="dxa"/>
                <w:tcBorders>
                  <w:top w:val="single" w:sz="6" w:space="0" w:color="auto"/>
                  <w:left w:val="single" w:sz="6" w:space="0" w:color="auto"/>
                  <w:bottom w:val="single" w:sz="6" w:space="0" w:color="auto"/>
                </w:tcBorders>
              </w:tcPr>
              <w:p w:rsidR="00BC4F38" w:rsidRPr="00BC4F38" w:rsidRDefault="00BC4F38" w:rsidP="00BC4F38">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BC4F38" w:rsidRPr="00BC4F38" w:rsidRDefault="00BC4F38" w:rsidP="00BC4F38">
                <w:pPr>
                  <w:jc w:val="center"/>
                  <w:rPr>
                    <w:rFonts w:cs="Arial"/>
                  </w:rPr>
                </w:pPr>
              </w:p>
            </w:tc>
          </w:tr>
          <w:tr w:rsidR="00BC4F38" w:rsidRPr="009E6D1F" w:rsidTr="00717FBA">
            <w:trPr>
              <w:cantSplit/>
              <w:jc w:val="right"/>
            </w:trPr>
            <w:tc>
              <w:tcPr>
                <w:tcW w:w="1454" w:type="dxa"/>
                <w:tcBorders>
                  <w:top w:val="single" w:sz="6" w:space="0" w:color="auto"/>
                  <w:left w:val="double" w:sz="6" w:space="0" w:color="auto"/>
                  <w:bottom w:val="single" w:sz="6" w:space="0" w:color="auto"/>
                </w:tcBorders>
              </w:tcPr>
              <w:p w:rsidR="00BC4F38" w:rsidRPr="00BC4F38" w:rsidRDefault="00BC4F38" w:rsidP="00BC4F38">
                <w:pPr>
                  <w:jc w:val="center"/>
                  <w:rPr>
                    <w:rFonts w:cs="Arial"/>
                  </w:rPr>
                </w:pPr>
              </w:p>
            </w:tc>
            <w:tc>
              <w:tcPr>
                <w:tcW w:w="2088" w:type="dxa"/>
                <w:tcBorders>
                  <w:top w:val="single" w:sz="6" w:space="0" w:color="auto"/>
                  <w:left w:val="single" w:sz="6" w:space="0" w:color="auto"/>
                  <w:bottom w:val="single" w:sz="6" w:space="0" w:color="auto"/>
                </w:tcBorders>
              </w:tcPr>
              <w:p w:rsidR="00BC4F38" w:rsidRPr="00BC4F38" w:rsidRDefault="00BC4F38" w:rsidP="00BC4F38">
                <w:pPr>
                  <w:jc w:val="center"/>
                  <w:rPr>
                    <w:rFonts w:cs="Arial"/>
                  </w:rPr>
                </w:pPr>
              </w:p>
            </w:tc>
            <w:tc>
              <w:tcPr>
                <w:tcW w:w="1368" w:type="dxa"/>
                <w:tcBorders>
                  <w:top w:val="single" w:sz="6" w:space="0" w:color="auto"/>
                  <w:left w:val="single" w:sz="6" w:space="0" w:color="auto"/>
                  <w:bottom w:val="single" w:sz="6" w:space="0" w:color="auto"/>
                </w:tcBorders>
              </w:tcPr>
              <w:p w:rsidR="00BC4F38" w:rsidRPr="00BC4F38" w:rsidRDefault="00BC4F38" w:rsidP="003548BC">
                <w:pPr>
                  <w:rPr>
                    <w:rFonts w:cs="Arial"/>
                  </w:rPr>
                </w:pPr>
              </w:p>
            </w:tc>
            <w:tc>
              <w:tcPr>
                <w:tcW w:w="4733" w:type="dxa"/>
                <w:tcBorders>
                  <w:top w:val="single" w:sz="6" w:space="0" w:color="auto"/>
                  <w:left w:val="single" w:sz="6" w:space="0" w:color="auto"/>
                  <w:bottom w:val="single" w:sz="6" w:space="0" w:color="auto"/>
                  <w:right w:val="double" w:sz="6" w:space="0" w:color="auto"/>
                </w:tcBorders>
              </w:tcPr>
              <w:p w:rsidR="00BC4F38" w:rsidRPr="00BC4F38" w:rsidRDefault="00BC4F38" w:rsidP="00BC4F38">
                <w:pPr>
                  <w:jc w:val="center"/>
                  <w:rPr>
                    <w:rFonts w:cs="Arial"/>
                  </w:rPr>
                </w:pPr>
              </w:p>
            </w:tc>
          </w:tr>
          <w:tr w:rsidR="00BC4F38" w:rsidRPr="009E6D1F" w:rsidTr="00717FBA">
            <w:trPr>
              <w:cantSplit/>
              <w:jc w:val="right"/>
            </w:trPr>
            <w:tc>
              <w:tcPr>
                <w:tcW w:w="1454" w:type="dxa"/>
                <w:tcBorders>
                  <w:top w:val="single" w:sz="6" w:space="0" w:color="auto"/>
                  <w:left w:val="double" w:sz="6" w:space="0" w:color="auto"/>
                  <w:bottom w:val="double" w:sz="6" w:space="0" w:color="auto"/>
                </w:tcBorders>
              </w:tcPr>
              <w:p w:rsidR="00BC4F38" w:rsidRPr="00BC4F38" w:rsidRDefault="00BC4F38" w:rsidP="00BC4F38">
                <w:pPr>
                  <w:jc w:val="center"/>
                  <w:rPr>
                    <w:rFonts w:cs="Arial"/>
                  </w:rPr>
                </w:pPr>
              </w:p>
            </w:tc>
            <w:tc>
              <w:tcPr>
                <w:tcW w:w="208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136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BC4F38" w:rsidRPr="00BC4F38" w:rsidRDefault="00BC4F38" w:rsidP="00BC4F38">
                <w:pPr>
                  <w:jc w:val="center"/>
                  <w:rPr>
                    <w:rFonts w:cs="Arial"/>
                  </w:rPr>
                </w:pPr>
              </w:p>
            </w:tc>
          </w:tr>
          <w:tr w:rsidR="00BC4F38" w:rsidRPr="009E6D1F" w:rsidTr="00717FBA">
            <w:trPr>
              <w:cantSplit/>
              <w:jc w:val="right"/>
            </w:trPr>
            <w:tc>
              <w:tcPr>
                <w:tcW w:w="1454" w:type="dxa"/>
                <w:tcBorders>
                  <w:top w:val="single" w:sz="6" w:space="0" w:color="auto"/>
                  <w:left w:val="double" w:sz="6" w:space="0" w:color="auto"/>
                  <w:bottom w:val="double" w:sz="6" w:space="0" w:color="auto"/>
                </w:tcBorders>
              </w:tcPr>
              <w:p w:rsidR="00BC4F38" w:rsidRPr="00BC4F38" w:rsidRDefault="00BC4F38" w:rsidP="00BC4F38">
                <w:pPr>
                  <w:jc w:val="center"/>
                  <w:rPr>
                    <w:rFonts w:cs="Arial"/>
                  </w:rPr>
                </w:pPr>
              </w:p>
            </w:tc>
            <w:tc>
              <w:tcPr>
                <w:tcW w:w="208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136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BC4F38" w:rsidRPr="00BC4F38" w:rsidRDefault="00BC4F38" w:rsidP="00BC4F38">
                <w:pPr>
                  <w:jc w:val="center"/>
                  <w:rPr>
                    <w:rFonts w:cs="Arial"/>
                  </w:rPr>
                </w:pPr>
              </w:p>
            </w:tc>
          </w:tr>
          <w:tr w:rsidR="00BC4F38" w:rsidRPr="009E6D1F" w:rsidTr="00717FBA">
            <w:trPr>
              <w:cantSplit/>
              <w:jc w:val="right"/>
            </w:trPr>
            <w:tc>
              <w:tcPr>
                <w:tcW w:w="1454" w:type="dxa"/>
                <w:tcBorders>
                  <w:top w:val="single" w:sz="6" w:space="0" w:color="auto"/>
                  <w:left w:val="double" w:sz="6" w:space="0" w:color="auto"/>
                  <w:bottom w:val="double" w:sz="6" w:space="0" w:color="auto"/>
                </w:tcBorders>
              </w:tcPr>
              <w:p w:rsidR="00BC4F38" w:rsidRPr="00BC4F38" w:rsidRDefault="00BC4F38" w:rsidP="00BC4F38">
                <w:pPr>
                  <w:jc w:val="center"/>
                  <w:rPr>
                    <w:rFonts w:cs="Arial"/>
                  </w:rPr>
                </w:pPr>
              </w:p>
            </w:tc>
            <w:tc>
              <w:tcPr>
                <w:tcW w:w="208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136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BC4F38" w:rsidRPr="00BC4F38" w:rsidRDefault="00BC4F38" w:rsidP="00BC4F38">
                <w:pPr>
                  <w:jc w:val="center"/>
                  <w:rPr>
                    <w:rFonts w:cs="Arial"/>
                  </w:rPr>
                </w:pPr>
              </w:p>
            </w:tc>
          </w:tr>
          <w:tr w:rsidR="00BC4F38" w:rsidRPr="009E6D1F" w:rsidTr="00717FBA">
            <w:trPr>
              <w:cantSplit/>
              <w:jc w:val="right"/>
            </w:trPr>
            <w:tc>
              <w:tcPr>
                <w:tcW w:w="1454" w:type="dxa"/>
                <w:tcBorders>
                  <w:top w:val="single" w:sz="6" w:space="0" w:color="auto"/>
                  <w:left w:val="double" w:sz="6" w:space="0" w:color="auto"/>
                  <w:bottom w:val="double" w:sz="6" w:space="0" w:color="auto"/>
                </w:tcBorders>
              </w:tcPr>
              <w:p w:rsidR="00BC4F38" w:rsidRPr="00BC4F38" w:rsidRDefault="00BC4F38" w:rsidP="00BC4F38">
                <w:pPr>
                  <w:jc w:val="center"/>
                  <w:rPr>
                    <w:rFonts w:cs="Arial"/>
                  </w:rPr>
                </w:pPr>
              </w:p>
            </w:tc>
            <w:tc>
              <w:tcPr>
                <w:tcW w:w="208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1368" w:type="dxa"/>
                <w:tcBorders>
                  <w:top w:val="single" w:sz="6" w:space="0" w:color="auto"/>
                  <w:left w:val="single" w:sz="6" w:space="0" w:color="auto"/>
                  <w:bottom w:val="double" w:sz="6" w:space="0" w:color="auto"/>
                </w:tcBorders>
              </w:tcPr>
              <w:p w:rsidR="00BC4F38" w:rsidRPr="00BC4F38" w:rsidRDefault="00BC4F38" w:rsidP="00BC4F38">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BC4F38" w:rsidRPr="00BC4F38" w:rsidRDefault="00BC4F38" w:rsidP="00BC4F38">
                <w:pPr>
                  <w:jc w:val="center"/>
                  <w:rPr>
                    <w:rFonts w:cs="Arial"/>
                  </w:rPr>
                </w:pPr>
              </w:p>
            </w:tc>
          </w:tr>
        </w:tbl>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Default="00BC4F38" w:rsidP="00F05665">
          <w:pPr>
            <w:tabs>
              <w:tab w:val="left" w:pos="7685"/>
            </w:tabs>
          </w:pPr>
        </w:p>
        <w:p w:rsidR="00BC4F38" w:rsidRPr="00BC4F38" w:rsidRDefault="00BC4F38" w:rsidP="009E6D1F">
          <w:pPr>
            <w:spacing w:line="360" w:lineRule="auto"/>
            <w:ind w:left="-720"/>
            <w:jc w:val="center"/>
            <w:rPr>
              <w:rFonts w:cs="Arial"/>
            </w:rPr>
          </w:pPr>
          <w:r w:rsidRPr="00BC4F38">
            <w:rPr>
              <w:rFonts w:cs="Arial"/>
            </w:rPr>
            <w:tab/>
          </w:r>
        </w:p>
        <w:p w:rsidR="00BC4F38" w:rsidRDefault="00BC4F38">
          <w:pPr>
            <w:widowControl/>
            <w:rPr>
              <w:b/>
              <w:caps/>
            </w:rPr>
          </w:pPr>
          <w:r>
            <w:br w:type="page"/>
          </w:r>
        </w:p>
      </w:sdtContent>
    </w:sdt>
    <w:p w:rsidR="00493AB5" w:rsidRDefault="00290668" w:rsidP="00B7258B">
      <w:pPr>
        <w:pStyle w:val="CMT"/>
      </w:pPr>
      <w:r>
        <w:lastRenderedPageBreak/>
        <w:t>SECTION 23 33 00</w:t>
      </w:r>
      <w:r w:rsidR="00493AB5">
        <w:t xml:space="preserve"> – </w:t>
      </w:r>
      <w:r>
        <w:t xml:space="preserve">ductwork accessories </w:t>
      </w:r>
    </w:p>
    <w:p w:rsidR="000F5E0E" w:rsidRPr="000F5E0E" w:rsidRDefault="000F5E0E" w:rsidP="00B7258B">
      <w:pPr>
        <w:pStyle w:val="PRT"/>
      </w:pPr>
      <w:r w:rsidRPr="000F5E0E">
        <w:t>GENERAL</w:t>
      </w:r>
    </w:p>
    <w:p w:rsidR="0083798F" w:rsidRDefault="0083798F" w:rsidP="00B7258B">
      <w:pPr>
        <w:pStyle w:val="ART"/>
      </w:pPr>
      <w:r>
        <w:rPr>
          <w:szCs w:val="24"/>
        </w:rPr>
        <w:t>The following sections</w:t>
      </w:r>
      <w:r>
        <w:t xml:space="preserve"> are to be included as if written herein:</w:t>
      </w:r>
    </w:p>
    <w:p w:rsidR="0083798F" w:rsidRDefault="0083798F" w:rsidP="00B7258B">
      <w:pPr>
        <w:pStyle w:val="PR1"/>
      </w:pPr>
      <w:r>
        <w:t>Section 23 00 00 – Basic Mechanical Requirements</w:t>
      </w:r>
    </w:p>
    <w:p w:rsidR="0083798F" w:rsidRDefault="0083798F" w:rsidP="00B7258B">
      <w:pPr>
        <w:pStyle w:val="PR1"/>
      </w:pPr>
      <w:r>
        <w:t>Section 23 05 29 – Sleeves, Flashings, Supports and Anchors</w:t>
      </w:r>
    </w:p>
    <w:p w:rsidR="0083798F" w:rsidRDefault="0083798F" w:rsidP="00B7258B">
      <w:pPr>
        <w:pStyle w:val="PR1"/>
      </w:pPr>
      <w:r>
        <w:t>Section 23 05 53 – Mechanical Identification</w:t>
      </w:r>
    </w:p>
    <w:p w:rsidR="0083798F" w:rsidRPr="00D81FBF" w:rsidRDefault="0083798F" w:rsidP="00B7258B">
      <w:pPr>
        <w:pStyle w:val="ART"/>
      </w:pPr>
      <w:r w:rsidRPr="00D81FBF">
        <w:t>WORK INCLUDED</w:t>
      </w:r>
    </w:p>
    <w:p w:rsidR="0083798F" w:rsidRPr="00D81FBF" w:rsidRDefault="0083798F" w:rsidP="00B7258B">
      <w:pPr>
        <w:pStyle w:val="PR1"/>
      </w:pPr>
      <w:r>
        <w:t>Manual and Automatic Volume Control Dampers</w:t>
      </w:r>
    </w:p>
    <w:p w:rsidR="0083798F" w:rsidRPr="00D81FBF" w:rsidRDefault="0083798F" w:rsidP="00B7258B">
      <w:pPr>
        <w:pStyle w:val="PR1"/>
      </w:pPr>
      <w:r>
        <w:t>Fire Dampers</w:t>
      </w:r>
    </w:p>
    <w:p w:rsidR="0083798F" w:rsidRPr="00D81FBF" w:rsidRDefault="0083798F" w:rsidP="00B7258B">
      <w:pPr>
        <w:pStyle w:val="PR1"/>
      </w:pPr>
      <w:r w:rsidRPr="00D81FBF">
        <w:t>Com</w:t>
      </w:r>
      <w:r>
        <w:t>bination Fire/Smoke Dampers</w:t>
      </w:r>
    </w:p>
    <w:p w:rsidR="0083798F" w:rsidRPr="00D81FBF" w:rsidRDefault="0083798F" w:rsidP="00B7258B">
      <w:pPr>
        <w:pStyle w:val="PR1"/>
      </w:pPr>
      <w:r>
        <w:t>Backdraft Dampers</w:t>
      </w:r>
    </w:p>
    <w:p w:rsidR="0083798F" w:rsidRPr="00D81FBF" w:rsidRDefault="0083798F" w:rsidP="00B7258B">
      <w:pPr>
        <w:pStyle w:val="PR1"/>
      </w:pPr>
      <w:r>
        <w:t>Air Turning Devices</w:t>
      </w:r>
    </w:p>
    <w:p w:rsidR="0083798F" w:rsidRPr="00D81FBF" w:rsidRDefault="0083798F" w:rsidP="00B7258B">
      <w:pPr>
        <w:pStyle w:val="PR1"/>
      </w:pPr>
      <w:r>
        <w:t>Flexible Duct Connections</w:t>
      </w:r>
    </w:p>
    <w:p w:rsidR="0083798F" w:rsidRPr="00D81FBF" w:rsidRDefault="0083798F" w:rsidP="00B7258B">
      <w:pPr>
        <w:pStyle w:val="PR1"/>
      </w:pPr>
      <w:r>
        <w:t>Duct Access Doors</w:t>
      </w:r>
    </w:p>
    <w:p w:rsidR="0083798F" w:rsidRDefault="0083798F" w:rsidP="00B7258B">
      <w:pPr>
        <w:pStyle w:val="PR1"/>
      </w:pPr>
      <w:r>
        <w:t xml:space="preserve">Duct Test </w:t>
      </w:r>
      <w:r w:rsidR="001023B5">
        <w:t>Openings</w:t>
      </w:r>
    </w:p>
    <w:p w:rsidR="00E43C2F" w:rsidRDefault="00E43C2F" w:rsidP="00E43C2F">
      <w:pPr>
        <w:pStyle w:val="PR1"/>
      </w:pPr>
      <w:r>
        <w:t>Gravity Ventilator Hoods</w:t>
      </w:r>
    </w:p>
    <w:p w:rsidR="0083798F" w:rsidRPr="00D81FBF" w:rsidRDefault="0083798F" w:rsidP="00B7258B">
      <w:pPr>
        <w:pStyle w:val="ART"/>
      </w:pPr>
      <w:r w:rsidRPr="00D81FBF">
        <w:t>RELATED WORK</w:t>
      </w:r>
    </w:p>
    <w:p w:rsidR="0083798F" w:rsidRDefault="0083798F" w:rsidP="00B7258B">
      <w:pPr>
        <w:pStyle w:val="PR1"/>
      </w:pPr>
      <w:r>
        <w:t xml:space="preserve">Products installed, but not furnished under this section include airflow stations and automatic control dampers to be provided by Controls Contractor under section 23 </w:t>
      </w:r>
      <w:r w:rsidR="00B70719">
        <w:t>29</w:t>
      </w:r>
      <w:r>
        <w:t xml:space="preserve"> 23.</w:t>
      </w:r>
    </w:p>
    <w:p w:rsidR="0083798F" w:rsidRPr="00D81FBF" w:rsidRDefault="0083798F" w:rsidP="00B7258B">
      <w:pPr>
        <w:pStyle w:val="PR1"/>
      </w:pPr>
      <w:r w:rsidRPr="004766E7">
        <w:t xml:space="preserve">Section </w:t>
      </w:r>
      <w:r>
        <w:t xml:space="preserve">23 05 48 </w:t>
      </w:r>
      <w:r>
        <w:noBreakHyphen/>
        <w:t xml:space="preserve"> Vibration Isolation</w:t>
      </w:r>
    </w:p>
    <w:p w:rsidR="0083798F" w:rsidRPr="00D81FBF" w:rsidRDefault="0083798F" w:rsidP="00B7258B">
      <w:pPr>
        <w:pStyle w:val="PR1"/>
      </w:pPr>
      <w:r w:rsidRPr="004766E7">
        <w:t xml:space="preserve">Section </w:t>
      </w:r>
      <w:r>
        <w:t xml:space="preserve">23 31 00 </w:t>
      </w:r>
      <w:r>
        <w:noBreakHyphen/>
        <w:t xml:space="preserve"> Ductwork</w:t>
      </w:r>
    </w:p>
    <w:p w:rsidR="0083798F" w:rsidRPr="00D81FBF" w:rsidRDefault="0083798F" w:rsidP="00B7258B">
      <w:pPr>
        <w:pStyle w:val="PR1"/>
      </w:pPr>
      <w:r w:rsidRPr="00042255">
        <w:rPr>
          <w:szCs w:val="24"/>
        </w:rPr>
        <w:t>Section</w:t>
      </w:r>
      <w:r w:rsidRPr="00042255">
        <w:t xml:space="preserve"> </w:t>
      </w:r>
      <w:r>
        <w:t>23 36 00</w:t>
      </w:r>
      <w:r w:rsidRPr="00D81FBF">
        <w:t xml:space="preserve"> </w:t>
      </w:r>
      <w:r w:rsidRPr="00D81FBF">
        <w:noBreakHyphen/>
        <w:t xml:space="preserve"> Air Terminal Units:  Medium and </w:t>
      </w:r>
      <w:proofErr w:type="gramStart"/>
      <w:r>
        <w:t>H</w:t>
      </w:r>
      <w:r w:rsidRPr="00D81FBF">
        <w:t xml:space="preserve">igh </w:t>
      </w:r>
      <w:r>
        <w:t>P</w:t>
      </w:r>
      <w:r w:rsidRPr="00D81FBF">
        <w:t>ressure</w:t>
      </w:r>
      <w:proofErr w:type="gramEnd"/>
      <w:r w:rsidRPr="00D81FBF">
        <w:t xml:space="preserve"> </w:t>
      </w:r>
      <w:r>
        <w:t>D</w:t>
      </w:r>
      <w:r w:rsidRPr="00D81FBF">
        <w:t xml:space="preserve">amper </w:t>
      </w:r>
      <w:r>
        <w:t>A</w:t>
      </w:r>
      <w:r w:rsidRPr="00D81FBF">
        <w:t>s</w:t>
      </w:r>
      <w:r>
        <w:t>semblies</w:t>
      </w:r>
    </w:p>
    <w:p w:rsidR="0083798F" w:rsidRPr="00D81FBF" w:rsidRDefault="0083798F" w:rsidP="00B7258B">
      <w:pPr>
        <w:pStyle w:val="ART"/>
      </w:pPr>
      <w:r w:rsidRPr="00D81FBF">
        <w:t>REFERENCES</w:t>
      </w:r>
    </w:p>
    <w:p w:rsidR="0083798F" w:rsidRPr="00D81FBF" w:rsidRDefault="0083798F" w:rsidP="00B7258B">
      <w:pPr>
        <w:pStyle w:val="PR1"/>
      </w:pPr>
      <w:r w:rsidRPr="00D81FBF">
        <w:t xml:space="preserve">NFPA 90A </w:t>
      </w:r>
      <w:r w:rsidRPr="00D81FBF">
        <w:noBreakHyphen/>
        <w:t xml:space="preserve"> Installation of Air Condi</w:t>
      </w:r>
      <w:r>
        <w:t>tioning and Ventilating Systems</w:t>
      </w:r>
    </w:p>
    <w:p w:rsidR="0083798F" w:rsidRPr="00D81FBF" w:rsidRDefault="0083798F" w:rsidP="00B7258B">
      <w:pPr>
        <w:pStyle w:val="PR1"/>
      </w:pPr>
      <w:r w:rsidRPr="00D81FBF">
        <w:t xml:space="preserve">SMACNA </w:t>
      </w:r>
      <w:r w:rsidRPr="00D81FBF">
        <w:noBreakHyphen/>
        <w:t xml:space="preserve"> Low Press</w:t>
      </w:r>
      <w:r>
        <w:t>ure Duct Construction Standards</w:t>
      </w:r>
    </w:p>
    <w:p w:rsidR="0083798F" w:rsidRPr="00D81FBF" w:rsidRDefault="0083798F" w:rsidP="00B7258B">
      <w:pPr>
        <w:pStyle w:val="PR1"/>
      </w:pPr>
      <w:r w:rsidRPr="00D81FBF">
        <w:t xml:space="preserve">UL 33 </w:t>
      </w:r>
      <w:r w:rsidRPr="00D81FBF">
        <w:noBreakHyphen/>
        <w:t xml:space="preserve"> Heat Responsive Li</w:t>
      </w:r>
      <w:r>
        <w:t>nks for Fire Protection Service</w:t>
      </w:r>
    </w:p>
    <w:p w:rsidR="0083798F" w:rsidRPr="00D81FBF" w:rsidRDefault="0083798F" w:rsidP="00B7258B">
      <w:pPr>
        <w:pStyle w:val="PR1"/>
      </w:pPr>
      <w:r w:rsidRPr="00D81FBF">
        <w:t xml:space="preserve">UL 555 </w:t>
      </w:r>
      <w:r w:rsidRPr="00D81FBF">
        <w:noBreakHyphen/>
        <w:t xml:space="preserve"> Fire Dampers and Ceil</w:t>
      </w:r>
      <w:r>
        <w:t>ing Dampers</w:t>
      </w:r>
    </w:p>
    <w:p w:rsidR="0083798F" w:rsidRPr="00D81FBF" w:rsidRDefault="0083798F" w:rsidP="00B7258B">
      <w:pPr>
        <w:pStyle w:val="ART"/>
      </w:pPr>
      <w:r w:rsidRPr="00D81FBF">
        <w:t>SUBMITTALS</w:t>
      </w:r>
    </w:p>
    <w:p w:rsidR="0083798F" w:rsidRPr="00D81FBF" w:rsidRDefault="0083798F" w:rsidP="00B7258B">
      <w:pPr>
        <w:pStyle w:val="PR1"/>
      </w:pPr>
      <w:r w:rsidRPr="00D81FBF">
        <w:t xml:space="preserve">Submit shop drawings and product data under provisions of </w:t>
      </w:r>
      <w:r w:rsidRPr="005D46BC">
        <w:t>Section 23 00 00</w:t>
      </w:r>
      <w:r>
        <w:t>.</w:t>
      </w:r>
    </w:p>
    <w:p w:rsidR="0083798F" w:rsidRPr="00D81FBF" w:rsidRDefault="0083798F" w:rsidP="00B7258B">
      <w:pPr>
        <w:pStyle w:val="PR1"/>
      </w:pPr>
      <w:r w:rsidRPr="00D81FBF">
        <w:lastRenderedPageBreak/>
        <w:t xml:space="preserve">Provide shop drawings for shop fabricated assemblies indicated, including </w:t>
      </w:r>
      <w:r>
        <w:t xml:space="preserve">manual </w:t>
      </w:r>
      <w:r w:rsidRPr="00D81FBF">
        <w:t>volume dampers</w:t>
      </w:r>
      <w:r>
        <w:t>, automatic control dampers,</w:t>
      </w:r>
      <w:r w:rsidRPr="00D81FBF">
        <w:t xml:space="preserve"> duct access doors</w:t>
      </w:r>
      <w:r>
        <w:t>, and</w:t>
      </w:r>
      <w:r w:rsidRPr="00D81FBF">
        <w:t xml:space="preserve"> duct test holes.  Provide product data for hardware used.</w:t>
      </w:r>
    </w:p>
    <w:p w:rsidR="0083798F" w:rsidRPr="00D81FBF" w:rsidRDefault="0083798F" w:rsidP="00B7258B">
      <w:pPr>
        <w:pStyle w:val="PR1"/>
      </w:pPr>
      <w:r w:rsidRPr="00D81FBF">
        <w:t xml:space="preserve">Submit manufacturer's installation instructions under provisions of </w:t>
      </w:r>
      <w:r w:rsidRPr="005D46BC">
        <w:t>Section 23 00 00</w:t>
      </w:r>
      <w:r w:rsidRPr="00D81FBF">
        <w:t xml:space="preserve"> for fire dampers and combination fire and smoke dampers.</w:t>
      </w:r>
    </w:p>
    <w:p w:rsidR="00493AB5" w:rsidRDefault="00493AB5" w:rsidP="00B7258B">
      <w:pPr>
        <w:pStyle w:val="PRT"/>
      </w:pPr>
      <w:r>
        <w:t xml:space="preserve">PRODUCTS </w:t>
      </w:r>
    </w:p>
    <w:p w:rsidR="00B9629C" w:rsidRDefault="00B9629C" w:rsidP="00B7258B">
      <w:pPr>
        <w:pStyle w:val="ART"/>
      </w:pPr>
      <w:r>
        <w:t>dampers</w:t>
      </w:r>
    </w:p>
    <w:p w:rsidR="00B7258B" w:rsidRDefault="00B9629C" w:rsidP="00B7258B">
      <w:pPr>
        <w:pStyle w:val="PR1"/>
        <w:numPr>
          <w:ilvl w:val="4"/>
          <w:numId w:val="2"/>
        </w:numPr>
      </w:pPr>
      <w:r w:rsidRPr="00B9629C">
        <w:t>Furnish and install manual volume dampers where shown on the drawings and wherever necessary for complete control of the air flow, including all supply, return and exhaust branches, "division" in main supply, return and exhaust ducts, each individual air supply outlet and fresh air ducts.  Where access to dampers through a fixed suspended ceiling is necessary, the Contractor shall be responsible for the proper location of the access doors.</w:t>
      </w:r>
    </w:p>
    <w:p w:rsidR="00B7258B" w:rsidRPr="00B7258B" w:rsidRDefault="00B7258B" w:rsidP="00B7258B">
      <w:pPr>
        <w:pStyle w:val="PR1"/>
        <w:numPr>
          <w:ilvl w:val="0"/>
          <w:numId w:val="0"/>
        </w:numPr>
        <w:ind w:left="864"/>
        <w:rPr>
          <w:b/>
        </w:rPr>
      </w:pPr>
      <w:r w:rsidRPr="00B7258B">
        <w:rPr>
          <w:b/>
          <w:i/>
          <w:u w:val="single"/>
        </w:rPr>
        <w:t>NOTE TO THE SPECIFICATION WRITER: OUTSIDE AIR DAMPERS SHALL BE 316L STAINLESS STEEL. MODIFY THIS SPECIFICATION AND THE DDC SYSTEM SPECIFICATION ACCORDINGLY.</w:t>
      </w:r>
    </w:p>
    <w:p w:rsidR="00B9629C" w:rsidRDefault="00B7258B" w:rsidP="00B7258B">
      <w:pPr>
        <w:pStyle w:val="PR1"/>
        <w:numPr>
          <w:ilvl w:val="4"/>
          <w:numId w:val="2"/>
        </w:numPr>
      </w:pPr>
      <w:r w:rsidDel="00B7258B">
        <w:t xml:space="preserve"> </w:t>
      </w:r>
      <w:r w:rsidR="000843D1" w:rsidRPr="000843D1">
        <w:t xml:space="preserve">Dampers shall be carefully fitted, and shall be controlled by locking quadrants equal to </w:t>
      </w:r>
      <w:proofErr w:type="spellStart"/>
      <w:r w:rsidR="000843D1" w:rsidRPr="000843D1">
        <w:t>Ventlok</w:t>
      </w:r>
      <w:proofErr w:type="spellEnd"/>
      <w:r w:rsidR="000843D1" w:rsidRPr="000843D1">
        <w:t xml:space="preserve"> No. 555 on exposed uninsulated ductwork, No. 644 on exposed externally insulated ductwork and No. 677 (2 5/8" diameter) chromium plated cover plate for concealed ductwork not above lay in accessible ceilings.  Furnish and install end bearings for the damper rods on the end opposite the quadrant when No. 555 or No. 644 regulators are used, and on both ends when No. 677 regulators are used.</w:t>
      </w:r>
    </w:p>
    <w:p w:rsidR="000843D1" w:rsidRDefault="000843D1" w:rsidP="00B7258B">
      <w:pPr>
        <w:pStyle w:val="PR1"/>
        <w:numPr>
          <w:ilvl w:val="4"/>
          <w:numId w:val="2"/>
        </w:numPr>
      </w:pPr>
      <w:r w:rsidRPr="000843D1">
        <w:t xml:space="preserve">On concealed ductwork above lay in accessible ceilings use </w:t>
      </w:r>
      <w:proofErr w:type="spellStart"/>
      <w:r w:rsidRPr="000843D1">
        <w:t>Ventlok</w:t>
      </w:r>
      <w:proofErr w:type="spellEnd"/>
      <w:r w:rsidRPr="000843D1">
        <w:t xml:space="preserve"> No. 555 or No. 644 locking quadrant for splitter dampers.</w:t>
      </w:r>
    </w:p>
    <w:p w:rsidR="000843D1" w:rsidRDefault="000843D1" w:rsidP="00B7258B">
      <w:pPr>
        <w:pStyle w:val="PR1"/>
        <w:numPr>
          <w:ilvl w:val="4"/>
          <w:numId w:val="2"/>
        </w:numPr>
      </w:pPr>
      <w:r w:rsidRPr="000843D1">
        <w:t>Dampers larger than three (3) square feet in area shall be controlled by means of rods hinged near the leading edge of the damper with provisions for firmly anchoring the rod and with end bearings supporting the axle.</w:t>
      </w:r>
    </w:p>
    <w:p w:rsidR="000843D1" w:rsidRDefault="000843D1" w:rsidP="00B7258B">
      <w:pPr>
        <w:pStyle w:val="PR1"/>
        <w:numPr>
          <w:ilvl w:val="4"/>
          <w:numId w:val="2"/>
        </w:numPr>
      </w:pPr>
      <w:r w:rsidRPr="000843D1">
        <w:t>Manual volume dampers shall be equal to Ruskin</w:t>
      </w:r>
      <w:r w:rsidR="00A42617">
        <w:t xml:space="preserve"> </w:t>
      </w:r>
      <w:r w:rsidR="009F1143">
        <w:t>model CD</w:t>
      </w:r>
      <w:r w:rsidR="00A42617">
        <w:t xml:space="preserve">60, Greenheck </w:t>
      </w:r>
      <w:r w:rsidR="009F1143">
        <w:t>m</w:t>
      </w:r>
      <w:r w:rsidR="00A42617">
        <w:t xml:space="preserve">odel </w:t>
      </w:r>
      <w:r w:rsidR="009F1143">
        <w:t>VCD-33</w:t>
      </w:r>
      <w:r w:rsidRPr="000843D1">
        <w:t xml:space="preserve">, or approved equal.  Blades shall not exceed 48 inches (48") in length or twelve inches (12") in width and shall be of the opposed interlocking type.  The blades shall be of not less than No. 16-gauge galvanized steel supported on one-half inch (1/2") diameter rust proofed axles.  Axle bearings shall be the </w:t>
      </w:r>
      <w:proofErr w:type="spellStart"/>
      <w:proofErr w:type="gramStart"/>
      <w:r w:rsidRPr="000843D1">
        <w:t>self lubricating</w:t>
      </w:r>
      <w:proofErr w:type="spellEnd"/>
      <w:proofErr w:type="gramEnd"/>
      <w:r w:rsidRPr="000843D1">
        <w:t xml:space="preserve"> ferrule type.</w:t>
      </w:r>
    </w:p>
    <w:p w:rsidR="000843D1" w:rsidRDefault="000843D1" w:rsidP="00B7258B">
      <w:pPr>
        <w:pStyle w:val="PR1"/>
        <w:numPr>
          <w:ilvl w:val="4"/>
          <w:numId w:val="2"/>
        </w:numPr>
      </w:pPr>
      <w:r w:rsidRPr="000843D1">
        <w:t>Install all automatic control dampers, furnished by the Temperature Control Manufacturer, in strict accordance with the manufacturer's recommendations and requirements of these Specifications.</w:t>
      </w:r>
    </w:p>
    <w:p w:rsidR="00B7258B" w:rsidRPr="00B9629C" w:rsidRDefault="000843D1" w:rsidP="00B7258B">
      <w:pPr>
        <w:pStyle w:val="PR1"/>
        <w:numPr>
          <w:ilvl w:val="0"/>
          <w:numId w:val="0"/>
        </w:numPr>
        <w:ind w:left="864"/>
      </w:pPr>
      <w:r w:rsidRPr="000843D1">
        <w:lastRenderedPageBreak/>
        <w:t xml:space="preserve">All adjustable dampers installed in externally insulated ductwork shall be installed with </w:t>
      </w:r>
      <w:proofErr w:type="spellStart"/>
      <w:r w:rsidRPr="000843D1">
        <w:t>Ventlok</w:t>
      </w:r>
      <w:proofErr w:type="spellEnd"/>
      <w:r w:rsidRPr="000843D1">
        <w:t xml:space="preserve"> No. 639, or equal, elevated dial operators.  Insulation shall extend under the elevated dial.  All adjustable dam</w:t>
      </w:r>
      <w:r w:rsidR="00DB70E6">
        <w:t>pers installed in internally in</w:t>
      </w:r>
      <w:r w:rsidRPr="000843D1">
        <w:t xml:space="preserve">sulated ductwork shall be installed with </w:t>
      </w:r>
      <w:proofErr w:type="spellStart"/>
      <w:r w:rsidRPr="000843D1">
        <w:t>Ventlok</w:t>
      </w:r>
      <w:proofErr w:type="spellEnd"/>
      <w:r w:rsidRPr="000843D1">
        <w:t xml:space="preserve"> No. 635, or equal, dial operators.  All damper shaft penetrations in the ductwork shall be installed with </w:t>
      </w:r>
      <w:proofErr w:type="spellStart"/>
      <w:r w:rsidRPr="000843D1">
        <w:t>Ventlok</w:t>
      </w:r>
      <w:proofErr w:type="spellEnd"/>
      <w:r w:rsidRPr="000843D1">
        <w:t xml:space="preserve"> #609 end bearings.</w:t>
      </w:r>
    </w:p>
    <w:p w:rsidR="00B7258B" w:rsidRPr="00B7258B" w:rsidRDefault="00B7258B" w:rsidP="00B7258B">
      <w:pPr>
        <w:pStyle w:val="PR1"/>
        <w:numPr>
          <w:ilvl w:val="0"/>
          <w:numId w:val="0"/>
        </w:numPr>
        <w:ind w:left="864"/>
      </w:pPr>
    </w:p>
    <w:p w:rsidR="00155144" w:rsidRDefault="007B465D" w:rsidP="00B7258B">
      <w:pPr>
        <w:pStyle w:val="ART"/>
      </w:pPr>
      <w:r>
        <w:t>FIRE DAMPERS</w:t>
      </w:r>
      <w:r w:rsidR="001276DB">
        <w:t xml:space="preserve"> and</w:t>
      </w:r>
      <w:r w:rsidR="00057267">
        <w:t xml:space="preserve"> Combination Fire/Smoke Dampers</w:t>
      </w:r>
    </w:p>
    <w:p w:rsidR="00057267" w:rsidRDefault="00057267" w:rsidP="00B7258B">
      <w:pPr>
        <w:pStyle w:val="PR1"/>
        <w:numPr>
          <w:ilvl w:val="4"/>
          <w:numId w:val="2"/>
        </w:numPr>
      </w:pPr>
      <w:r>
        <w:t>Fire Dampers</w:t>
      </w:r>
    </w:p>
    <w:p w:rsidR="000843D1" w:rsidRDefault="000843D1" w:rsidP="00B7258B">
      <w:pPr>
        <w:pStyle w:val="PR2"/>
        <w:numPr>
          <w:ilvl w:val="5"/>
          <w:numId w:val="2"/>
        </w:numPr>
      </w:pPr>
      <w:r w:rsidRPr="000843D1">
        <w:t>Furnish and install where shown on the drawings or required by the Specifications, fire dampers meeting the following requirements.</w:t>
      </w:r>
    </w:p>
    <w:p w:rsidR="000843D1" w:rsidRDefault="000843D1" w:rsidP="00B7258B">
      <w:pPr>
        <w:pStyle w:val="PR2"/>
        <w:numPr>
          <w:ilvl w:val="5"/>
          <w:numId w:val="2"/>
        </w:numPr>
      </w:pPr>
      <w:r w:rsidRPr="000843D1">
        <w:t>Each fire damper shall be constructed and tested in accordance with Underwriters Laboratories Safety Standard 555.  All dampers shall possess a 1 1/2 hour or 3 hour (as appropriate for the construction shown in the architectural drawings) protection rating, 165 or 212 degree F fusible link, and shall bear a U.L. label in accordance with Underwriters Laboratories labeling procedures.  Fire dampers shall be constructed such that the damper frame material and the curtain material shall be galvanized.</w:t>
      </w:r>
    </w:p>
    <w:p w:rsidR="000843D1" w:rsidRDefault="000843D1" w:rsidP="00B7258B">
      <w:pPr>
        <w:pStyle w:val="PR2"/>
        <w:numPr>
          <w:ilvl w:val="5"/>
          <w:numId w:val="2"/>
        </w:numPr>
      </w:pPr>
      <w:r w:rsidRPr="000843D1">
        <w:t>Fire dampers shall be curtain blade or multi-blade type and the damper shall be so constructed that the blades are either out of the air stream or installed in an oversized sleeve to provide a 100 percent free area of the duct in which the damper is housed.</w:t>
      </w:r>
    </w:p>
    <w:p w:rsidR="000843D1" w:rsidRDefault="000843D1" w:rsidP="00B7258B">
      <w:pPr>
        <w:pStyle w:val="PR2"/>
        <w:numPr>
          <w:ilvl w:val="5"/>
          <w:numId w:val="2"/>
        </w:numPr>
      </w:pPr>
      <w:r w:rsidRPr="000843D1">
        <w:t>The damper manufacturer's literature submitted for approval prior to the installation shall include performance data developed from testing in accordance with AMCA 500 Standards and shall show the pressure drops for all sizes of dampers required at anticipated airflow rates.  Maximum pressure drop through fire damper shall not exceed 0.05 inch water gauge.</w:t>
      </w:r>
    </w:p>
    <w:p w:rsidR="000843D1" w:rsidRDefault="000843D1" w:rsidP="00B7258B">
      <w:pPr>
        <w:pStyle w:val="PR2"/>
        <w:numPr>
          <w:ilvl w:val="5"/>
          <w:numId w:val="2"/>
        </w:numPr>
      </w:pPr>
      <w:r w:rsidRPr="000843D1">
        <w:t>Fire dampers shall be equipped for vertical or horizontal installation as required by the locations shown in the drawings.  Fire dampers shall be installed in wall and floor openings utilizing steel sleeves, angles and other material and practices required to provide an installation equivalent to that utilized by the manufacturer when the respective dampers were tested by Underwriters Laboratories.  Mounting angles shall be a minimum of 1 1/2 inch by 1 1/2 inch by 14-gauge and bolted, tack welded or screwed to the sleeve at maximum spacing of 12 inches and with a minimum of two connections at all sides.  Mounting angles shall overlap at least equal to the gauge of the duct defined by the appropriate SMACNA Duct Construction Standard, latest edition, and as described in NFPA 90A.  The entire assembly, following installation, shall be capable of withstanding 6" water gauge static pressure.</w:t>
      </w:r>
    </w:p>
    <w:p w:rsidR="000843D1" w:rsidRDefault="000843D1" w:rsidP="00B7258B">
      <w:pPr>
        <w:pStyle w:val="PR2"/>
        <w:numPr>
          <w:ilvl w:val="5"/>
          <w:numId w:val="2"/>
        </w:numPr>
      </w:pPr>
      <w:r w:rsidRPr="000843D1">
        <w:t>The damper installation shall be in accordance with the damper manufacturer's instructions.</w:t>
      </w:r>
    </w:p>
    <w:p w:rsidR="000843D1" w:rsidRDefault="00057267" w:rsidP="00B7258B">
      <w:pPr>
        <w:pStyle w:val="PR2"/>
        <w:numPr>
          <w:ilvl w:val="5"/>
          <w:numId w:val="2"/>
        </w:numPr>
      </w:pPr>
      <w:r w:rsidRPr="00057267">
        <w:t xml:space="preserve">All fire dampers shall comply with the specification as written above and shall be </w:t>
      </w:r>
      <w:r w:rsidRPr="003345B1">
        <w:t xml:space="preserve">Ruskin model DIBD2 (Style C, CR or CO), Greenheck model DFD 150 or DFDR-150 (Type C, CR or CO), or </w:t>
      </w:r>
      <w:proofErr w:type="spellStart"/>
      <w:r w:rsidRPr="003345B1">
        <w:t>Pottorff</w:t>
      </w:r>
      <w:proofErr w:type="spellEnd"/>
      <w:r w:rsidRPr="003345B1">
        <w:t xml:space="preserve"> model VFD-10D-A.</w:t>
      </w:r>
    </w:p>
    <w:p w:rsidR="00057267" w:rsidRDefault="00057267" w:rsidP="00B7258B">
      <w:pPr>
        <w:pStyle w:val="PR2"/>
        <w:numPr>
          <w:ilvl w:val="5"/>
          <w:numId w:val="2"/>
        </w:numPr>
      </w:pPr>
      <w:r w:rsidRPr="00057267">
        <w:t xml:space="preserve">The contractor shall completely seal the assembly to the building components using </w:t>
      </w:r>
      <w:proofErr w:type="spellStart"/>
      <w:r w:rsidRPr="00057267">
        <w:t>Hardcast</w:t>
      </w:r>
      <w:proofErr w:type="spellEnd"/>
      <w:r w:rsidRPr="00057267">
        <w:t xml:space="preserve"> 1602 sealant tape to allow for expansion and contraction of the sleeve and damper assembly.</w:t>
      </w:r>
    </w:p>
    <w:p w:rsidR="005372FF" w:rsidRPr="00057267" w:rsidRDefault="005372FF" w:rsidP="00206CB9">
      <w:pPr>
        <w:pStyle w:val="PR2"/>
        <w:numPr>
          <w:ilvl w:val="5"/>
          <w:numId w:val="2"/>
        </w:numPr>
      </w:pPr>
      <w:bookmarkStart w:id="0" w:name="_GoBack"/>
      <w:bookmarkEnd w:id="0"/>
      <w:r w:rsidRPr="005372FF">
        <w:lastRenderedPageBreak/>
        <w:t xml:space="preserve">Dampers shall be UL labeled for use in dynamic systems.  Closure reading shall be 110% of the maximum design airflow at the point of installation.  The minimum closure pressure rating shall be 8” </w:t>
      </w:r>
      <w:proofErr w:type="spellStart"/>
      <w:r w:rsidRPr="005372FF">
        <w:t>wg</w:t>
      </w:r>
      <w:proofErr w:type="spellEnd"/>
      <w:r w:rsidRPr="005372FF">
        <w:t xml:space="preserve"> for airflow in either direction.</w:t>
      </w:r>
    </w:p>
    <w:p w:rsidR="00155144" w:rsidRDefault="007B465D" w:rsidP="00B7258B">
      <w:pPr>
        <w:pStyle w:val="PR1"/>
        <w:numPr>
          <w:ilvl w:val="4"/>
          <w:numId w:val="2"/>
        </w:numPr>
      </w:pPr>
      <w:r>
        <w:t>Combination Fire/Smoke Dampers</w:t>
      </w:r>
    </w:p>
    <w:p w:rsidR="00155144" w:rsidRDefault="00057267" w:rsidP="00B7258B">
      <w:pPr>
        <w:pStyle w:val="PR2"/>
        <w:numPr>
          <w:ilvl w:val="5"/>
          <w:numId w:val="2"/>
        </w:numPr>
      </w:pPr>
      <w:r w:rsidRPr="00057267">
        <w:t>Furnish and install where shown on the drawings, or as required by the specifications, combination fire/smoke dampers meeting the following requirements.</w:t>
      </w:r>
    </w:p>
    <w:p w:rsidR="00057267" w:rsidRDefault="00057267" w:rsidP="00B7258B">
      <w:pPr>
        <w:pStyle w:val="PR2"/>
        <w:numPr>
          <w:ilvl w:val="5"/>
          <w:numId w:val="2"/>
        </w:numPr>
      </w:pPr>
      <w:r w:rsidRPr="00057267">
        <w:t>Each combination fire/smoke damper shall be 1 1/2 hour fire rated under UL Standard 555, 4th Edition, and shall be further classified by Underwriters Laboratories as a Leakage Rated Damper for use in smoke control systems under the latest version of UL555S, and bear a UL label attesting to it.  The damper manufacturer shall have tested, and qualified with UL, a complete range of damper sizes covering all dampers required by this specification.  Testing and UL qualifying a single damper size is not acceptable.  The leakage rating under UL555S shall be no higher than Leakage Class I (4 cfm per square foot at one inch water gauge pressure and 8 cfm per square foot at 4 inches water gauge pressure).  The maximum air pressure drop through each combination fire/smoke damper shall not exceed 0.10 inch water gauge at the design air quantity.  (Note that this may require a larger damper than the connected duct size.)</w:t>
      </w:r>
    </w:p>
    <w:p w:rsidR="00057267" w:rsidRDefault="00057267" w:rsidP="00B7258B">
      <w:pPr>
        <w:pStyle w:val="PR2"/>
        <w:numPr>
          <w:ilvl w:val="5"/>
          <w:numId w:val="2"/>
        </w:numPr>
      </w:pPr>
      <w:r w:rsidRPr="00057267">
        <w:t xml:space="preserve">The damper frame shall be a minimum of 20-gauge galvanized steel formed into a structural hat channel shape with tabbed corners for reinforcement, as approved in testing by Underwriters Laboratories.  </w:t>
      </w:r>
      <w:r w:rsidR="001B164C" w:rsidRPr="00057267">
        <w:t xml:space="preserve">Bearings shall be integral high surface area non electrolytic materials construction to incorporate a friction free frame blade lap seal, or molybdenum disulfide impregnated stainless steel or bronze </w:t>
      </w:r>
      <w:r w:rsidR="001B164C">
        <w:rPr>
          <w:lang w:val="en-US"/>
        </w:rPr>
        <w:t>O</w:t>
      </w:r>
      <w:proofErr w:type="spellStart"/>
      <w:r w:rsidR="001B164C" w:rsidRPr="00057267">
        <w:t>ilite</w:t>
      </w:r>
      <w:proofErr w:type="spellEnd"/>
      <w:r w:rsidR="001B164C" w:rsidRPr="00057267">
        <w:t xml:space="preserve"> sleeve type turning in an extruded hole in the frame or an extruded frame raceway.  </w:t>
      </w:r>
      <w:r w:rsidRPr="00057267">
        <w:t>The dampers may be either parallel or opposed blade type.  The blades shall be constructed with a minimum of 14-gauge equivalent thickness.  The blade edge seal material shall be able to withstand 450 degrees F.  The jamb seals shall be flexible stainless steel compression type or lap seal type.</w:t>
      </w:r>
    </w:p>
    <w:p w:rsidR="00057267" w:rsidRDefault="00057267" w:rsidP="00B7258B">
      <w:pPr>
        <w:pStyle w:val="PR2"/>
        <w:numPr>
          <w:ilvl w:val="5"/>
          <w:numId w:val="2"/>
        </w:numPr>
      </w:pPr>
      <w:r w:rsidRPr="00057267">
        <w:t>In addition to the leakage ratings specified herein, the combination fire/smoke dampers and their operators shall be qualified under UL555S to an elevated temperature of 250 degrees F.  Electric operators shall be installed by the damper manufacturer at the time of damper fabrication.  The damper and operator shall be supplied as a single entity that meets all applicable UL555 and UL555S qualifications for both dampers and operators.  The manufacturer shall provide a factory-assembled sleeve.  The sleeve shall be a minimum of either 20-gauge for dampers where neither width nor height exceeds 48 inches or 16-gauge where either dimension equals or exceeds 48 inches.</w:t>
      </w:r>
    </w:p>
    <w:p w:rsidR="00057267" w:rsidRDefault="00057267" w:rsidP="00B7258B">
      <w:pPr>
        <w:pStyle w:val="PR2"/>
        <w:numPr>
          <w:ilvl w:val="5"/>
          <w:numId w:val="2"/>
        </w:numPr>
      </w:pPr>
      <w:r w:rsidRPr="00057267">
        <w:t>As part of the UL qualification, dampers shall have demonstrated a capacity to operate (open and close) under HVAC system operation conditions, with pressures of at least 4 inches water gauge in the closed position, and 2500 fpm air velocity in the open position.</w:t>
      </w:r>
    </w:p>
    <w:p w:rsidR="00057267" w:rsidRDefault="00057267" w:rsidP="00B7258B">
      <w:pPr>
        <w:pStyle w:val="PR2"/>
        <w:numPr>
          <w:ilvl w:val="5"/>
          <w:numId w:val="2"/>
        </w:numPr>
      </w:pPr>
      <w:r w:rsidRPr="00057267">
        <w:lastRenderedPageBreak/>
        <w:t xml:space="preserve">Each combination fire/smoke damper shall be equipped with a UL Classified </w:t>
      </w:r>
      <w:proofErr w:type="spellStart"/>
      <w:r w:rsidRPr="00057267">
        <w:t>Firestat</w:t>
      </w:r>
      <w:proofErr w:type="spellEnd"/>
      <w:r w:rsidRPr="00057267">
        <w:t xml:space="preserve">/releasing device.  The </w:t>
      </w:r>
      <w:proofErr w:type="spellStart"/>
      <w:r w:rsidRPr="00057267">
        <w:t>F</w:t>
      </w:r>
      <w:r w:rsidR="00792F90">
        <w:t>i</w:t>
      </w:r>
      <w:r w:rsidRPr="00057267">
        <w:t>restat</w:t>
      </w:r>
      <w:proofErr w:type="spellEnd"/>
      <w:r w:rsidRPr="00057267">
        <w:t xml:space="preserve">/releasing device shall electrically and mechanically lock the damper in a closed position when the duct temperatures exceed 165 degrees F and still allow the appropriate authority to operate the damper as may be required for smoke control functions.  The damper must be operable while the temperature is above 250 degrees F.  The actuator/operator package shall include two damper position indicator switches linked directly to damper blade to provide capability of remotely indicating damper position.  One switch shall close when the damper is fully open, and the other switch shall close when the damper is fully closed.  The </w:t>
      </w:r>
      <w:proofErr w:type="spellStart"/>
      <w:r w:rsidRPr="00057267">
        <w:t>Firestat</w:t>
      </w:r>
      <w:proofErr w:type="spellEnd"/>
      <w:r w:rsidRPr="00057267">
        <w:t>/releasing device and position indicator switches shall be capable of interfacing electrically with the smoke detectors, building fire alarm systems, and remote indicating/control stations.</w:t>
      </w:r>
    </w:p>
    <w:p w:rsidR="00057267" w:rsidRDefault="00057267" w:rsidP="00B7258B">
      <w:pPr>
        <w:pStyle w:val="PR2"/>
        <w:numPr>
          <w:ilvl w:val="5"/>
          <w:numId w:val="2"/>
        </w:numPr>
      </w:pPr>
      <w:r w:rsidRPr="00057267">
        <w:t>The damper releasing device shall be mounted within the airstream.  The device shall be activated and the damper shall close and lock when subjected to duct temperatures in excess of approximately 285 degrees F.</w:t>
      </w:r>
    </w:p>
    <w:p w:rsidR="00057267" w:rsidRDefault="00057267" w:rsidP="00B7258B">
      <w:pPr>
        <w:pStyle w:val="PR2"/>
        <w:numPr>
          <w:ilvl w:val="5"/>
          <w:numId w:val="2"/>
        </w:numPr>
      </w:pPr>
      <w:r w:rsidRPr="00057267">
        <w:t>Motors for operation of smoke dampers shall be smoke system fail safe, spring return normally open supplies and normally closed returns, or as indicated in the plans, and shall be furnished and installed by the damper manufacturer as required by the U.L. rating mentioned above.  Motors shall be electric or pneumatic to match the type of temperature control system specified elsewhere in this specification.  All required relays, EP switches, wiring piping and other labor and material necessary to completely interconnect the smoke detector system shall be furnished by the Contractor.</w:t>
      </w:r>
    </w:p>
    <w:p w:rsidR="00057267" w:rsidRDefault="00057267" w:rsidP="00B7258B">
      <w:pPr>
        <w:pStyle w:val="PR2"/>
        <w:numPr>
          <w:ilvl w:val="5"/>
          <w:numId w:val="2"/>
        </w:numPr>
      </w:pPr>
      <w:r w:rsidRPr="00057267">
        <w:t>Each damper shall be furnished in a square or rectangular configuration.  The Contractor shall furnish and install sleeves manufactured by the approved damper manufacturer for each damper.  The sleeves shall be constructed with square or rectangular to square, rectangular, round, or oval adapters as required.  Dampers shall be installed in the sleeves in accordance with manufacturers U.L. installation instructions.  The entire assembly, following installation, shall be capable of withstanding 6" W.G. static pressure.</w:t>
      </w:r>
    </w:p>
    <w:p w:rsidR="00057267" w:rsidRDefault="00057267" w:rsidP="00B7258B">
      <w:pPr>
        <w:pStyle w:val="PR2"/>
        <w:numPr>
          <w:ilvl w:val="5"/>
          <w:numId w:val="2"/>
        </w:numPr>
      </w:pPr>
      <w:r w:rsidRPr="00057267">
        <w:t xml:space="preserve">All combination fire/smoke dampers shall comply with the specification as written </w:t>
      </w:r>
      <w:r w:rsidR="001B164C" w:rsidRPr="00057267">
        <w:t>above</w:t>
      </w:r>
      <w:r w:rsidR="001B164C">
        <w:rPr>
          <w:lang w:val="en-US"/>
        </w:rPr>
        <w:t xml:space="preserve"> </w:t>
      </w:r>
      <w:r w:rsidR="001B164C" w:rsidRPr="00057267">
        <w:t>and</w:t>
      </w:r>
      <w:r w:rsidRPr="00057267">
        <w:t xml:space="preserve"> shall be Ruskin Model FSD60, Greenheck Model FSD </w:t>
      </w:r>
      <w:r w:rsidR="005C7677">
        <w:t>331</w:t>
      </w:r>
      <w:r w:rsidRPr="00057267">
        <w:t xml:space="preserve">, or </w:t>
      </w:r>
      <w:proofErr w:type="spellStart"/>
      <w:r w:rsidRPr="00057267">
        <w:t>Pottor</w:t>
      </w:r>
      <w:r w:rsidR="00F60F46">
        <w:rPr>
          <w:lang w:val="en-US"/>
        </w:rPr>
        <w:t>o</w:t>
      </w:r>
      <w:proofErr w:type="spellEnd"/>
      <w:r w:rsidRPr="00057267">
        <w:t>ff.</w:t>
      </w:r>
    </w:p>
    <w:p w:rsidR="00057267" w:rsidRPr="00057267" w:rsidRDefault="00057267" w:rsidP="00B7258B">
      <w:pPr>
        <w:pStyle w:val="PR2"/>
        <w:numPr>
          <w:ilvl w:val="5"/>
          <w:numId w:val="2"/>
        </w:numPr>
      </w:pPr>
      <w:r w:rsidRPr="00057267">
        <w:t xml:space="preserve">The contractor shall completely seal the assembly to the building components using </w:t>
      </w:r>
      <w:proofErr w:type="spellStart"/>
      <w:r w:rsidRPr="00057267">
        <w:t>Hardcast</w:t>
      </w:r>
      <w:proofErr w:type="spellEnd"/>
      <w:r w:rsidRPr="00057267">
        <w:t xml:space="preserve"> 1602 sealant tape to allow for expansion and contraction of the sleeve and damper assembly.</w:t>
      </w:r>
    </w:p>
    <w:p w:rsidR="00057267" w:rsidRDefault="00057267" w:rsidP="00B7258B">
      <w:pPr>
        <w:pStyle w:val="PR2"/>
        <w:numPr>
          <w:ilvl w:val="5"/>
          <w:numId w:val="2"/>
        </w:numPr>
      </w:pPr>
      <w:r w:rsidRPr="00057267">
        <w:t xml:space="preserve">Dampers shall be UL labeled for use in dynamic systems.  Closure reading shall be 110% of the maximum design airflow at the point of installation.  The minimum closure pressure rating shall be 8” </w:t>
      </w:r>
      <w:proofErr w:type="spellStart"/>
      <w:r w:rsidRPr="00057267">
        <w:t>wg</w:t>
      </w:r>
      <w:proofErr w:type="spellEnd"/>
      <w:r w:rsidRPr="00057267">
        <w:t xml:space="preserve"> for airflow in either direction. </w:t>
      </w:r>
    </w:p>
    <w:p w:rsidR="00057267" w:rsidRDefault="00057267" w:rsidP="00B7258B">
      <w:pPr>
        <w:pStyle w:val="PR1"/>
        <w:numPr>
          <w:ilvl w:val="4"/>
          <w:numId w:val="2"/>
        </w:numPr>
      </w:pPr>
      <w:r>
        <w:t>Submittal and Installation</w:t>
      </w:r>
    </w:p>
    <w:p w:rsidR="00057267" w:rsidRDefault="00057267" w:rsidP="00B7258B">
      <w:pPr>
        <w:pStyle w:val="PR2"/>
        <w:numPr>
          <w:ilvl w:val="5"/>
          <w:numId w:val="2"/>
        </w:numPr>
      </w:pPr>
      <w:r w:rsidRPr="00057267">
        <w:t>The air quantity and free area through each fire and combination fire and smoke damper has been noted on the drawing adjacent to the duct size or wall opening size where such damper is required.</w:t>
      </w:r>
    </w:p>
    <w:p w:rsidR="00057267" w:rsidRDefault="00057267" w:rsidP="00B7258B">
      <w:pPr>
        <w:pStyle w:val="PR2"/>
        <w:numPr>
          <w:ilvl w:val="5"/>
          <w:numId w:val="2"/>
        </w:numPr>
      </w:pPr>
      <w:r w:rsidRPr="00057267">
        <w:t>Submittal(s) for fire</w:t>
      </w:r>
      <w:r w:rsidR="00066003">
        <w:t>, smoke,</w:t>
      </w:r>
      <w:r w:rsidRPr="00057267">
        <w:t xml:space="preserve"> and combination fire/smoke dampers shall include the following:</w:t>
      </w:r>
    </w:p>
    <w:p w:rsidR="00066003" w:rsidRDefault="00066003" w:rsidP="00B7258B">
      <w:pPr>
        <w:pStyle w:val="PR3"/>
      </w:pPr>
      <w:r w:rsidRPr="00066003">
        <w:t>Assign identification numbers for each damper with corresponding number noted on the drawings.</w:t>
      </w:r>
    </w:p>
    <w:p w:rsidR="00066003" w:rsidRDefault="00066003" w:rsidP="00B7258B">
      <w:pPr>
        <w:pStyle w:val="PR3"/>
      </w:pPr>
      <w:r w:rsidRPr="00066003">
        <w:t>Provide air quantity, size, free area of damper, pressure drop and proposed velocity through each damper.</w:t>
      </w:r>
    </w:p>
    <w:p w:rsidR="00066003" w:rsidRDefault="00066003" w:rsidP="00B7258B">
      <w:pPr>
        <w:pStyle w:val="PR3"/>
      </w:pPr>
      <w:r w:rsidRPr="00066003">
        <w:lastRenderedPageBreak/>
        <w:t>Provide manufacturer's data of damper and its accessories or options.</w:t>
      </w:r>
    </w:p>
    <w:p w:rsidR="00066003" w:rsidRDefault="00066003" w:rsidP="00B7258B">
      <w:pPr>
        <w:pStyle w:val="PR2"/>
        <w:numPr>
          <w:ilvl w:val="5"/>
          <w:numId w:val="2"/>
        </w:numPr>
      </w:pPr>
      <w:r w:rsidRPr="00066003">
        <w:t>One sample 18" x 12" damper shall be furnished for the purpose of illustrating damper operation to the Owner's operating and maintenance personnel.</w:t>
      </w:r>
    </w:p>
    <w:p w:rsidR="00066003" w:rsidRDefault="00066003" w:rsidP="00B7258B">
      <w:pPr>
        <w:pStyle w:val="PR2"/>
        <w:numPr>
          <w:ilvl w:val="5"/>
          <w:numId w:val="2"/>
        </w:numPr>
      </w:pPr>
      <w:r w:rsidRPr="00066003">
        <w:t>Access doors as specified elsewhere shall be provided to make all parts of the damper accessible.  Doors shall open not less than 90 degrees following installation and shall be insulated type where installed in insulated ducts.</w:t>
      </w:r>
    </w:p>
    <w:p w:rsidR="00066003" w:rsidRDefault="00066003" w:rsidP="00B7258B">
      <w:pPr>
        <w:pStyle w:val="PR2"/>
        <w:numPr>
          <w:ilvl w:val="5"/>
          <w:numId w:val="2"/>
        </w:numPr>
      </w:pPr>
      <w:r w:rsidRPr="00066003">
        <w:t>Contractor shall install each damper square and true to the building.  The installation shall not place pressure on the damper frame, but shall enclose the damper as required by UL555.</w:t>
      </w:r>
    </w:p>
    <w:p w:rsidR="00155144" w:rsidRDefault="00066003" w:rsidP="00B7258B">
      <w:pPr>
        <w:pStyle w:val="PR2"/>
        <w:numPr>
          <w:ilvl w:val="5"/>
          <w:numId w:val="2"/>
        </w:numPr>
      </w:pPr>
      <w:r w:rsidRPr="00066003">
        <w:t>After each fire damper and combination fire and smoke damper has been installed and sealed in their prescribed openings and prior to the installation of the ceilings, the Contractor shall, as directed by the Construction Inspector, activate part or all the dampers as required to verify "first time" closure.  Activation of the damper shall be accomplished by manually operating the resettable link, disconnecting the linkage at the fusible link of the fire damper, and manually operating the fire/smoke damper through the pneumatic or electronic controls as appropriate.  Failure of the damper to close properly and smoothly on the first attempt will be cause to replace the entire damper assembly.</w:t>
      </w:r>
    </w:p>
    <w:p w:rsidR="00155144" w:rsidRDefault="00155144" w:rsidP="00B7258B">
      <w:pPr>
        <w:pStyle w:val="ART"/>
      </w:pPr>
      <w:r>
        <w:t>FLEXIBLE CONNECTIONS</w:t>
      </w:r>
    </w:p>
    <w:p w:rsidR="00066003" w:rsidRDefault="00066003" w:rsidP="00B7258B">
      <w:pPr>
        <w:pStyle w:val="PR1"/>
        <w:numPr>
          <w:ilvl w:val="4"/>
          <w:numId w:val="2"/>
        </w:numPr>
      </w:pPr>
      <w:r w:rsidRPr="00066003">
        <w:t xml:space="preserve">Where ducts connect to fans, including roof exhausters, flexible connections shall be made using </w:t>
      </w:r>
      <w:proofErr w:type="spellStart"/>
      <w:r w:rsidRPr="00066003">
        <w:t>Ventglas</w:t>
      </w:r>
      <w:proofErr w:type="spellEnd"/>
      <w:r w:rsidRPr="00066003">
        <w:t xml:space="preserve"> fabric that is fire resistant, waterproof, mildew resistant and practically air tight, and shall weigh approximately thirty ounces (30 oz.) per square yard.  There shall be a minimum of </w:t>
      </w:r>
      <w:proofErr w:type="gramStart"/>
      <w:r w:rsidRPr="00066003">
        <w:t>one half</w:t>
      </w:r>
      <w:proofErr w:type="gramEnd"/>
      <w:r w:rsidRPr="00066003">
        <w:t xml:space="preserve"> inch (1/2") slack in the connections, and a minimum of two and one half inches (2 1/2") distance between the edges of the ducts except that there shall also be a minimum of one inch (1") of slack for each inch of static pressure on the fan system.  This does not apply to Air Handling</w:t>
      </w:r>
      <w:r>
        <w:t xml:space="preserve"> Units with internal isolation.</w:t>
      </w:r>
    </w:p>
    <w:p w:rsidR="00155144" w:rsidRDefault="00155144" w:rsidP="00B7258B">
      <w:pPr>
        <w:pStyle w:val="ART"/>
      </w:pPr>
      <w:r>
        <w:t>ACCESS DOORS</w:t>
      </w:r>
    </w:p>
    <w:p w:rsidR="00155144" w:rsidRDefault="00066003" w:rsidP="00B7258B">
      <w:pPr>
        <w:pStyle w:val="PR1"/>
        <w:numPr>
          <w:ilvl w:val="4"/>
          <w:numId w:val="2"/>
        </w:numPr>
      </w:pPr>
      <w:r w:rsidRPr="00066003">
        <w:t xml:space="preserve">Furnish and install in the ductwork, hinged rectangular or round spin in access doors to provide access to all fire dampers mixed air plenums, upstream of steam reheat coils, automatic dampers, etc.  Where the ducts are insulated, the access doors shall be double skin doors with one inch (1") of insulation in the door.  Where the size of the duct permits, the doors shall be eighteen inches (18") by sixteen inches (16"), or eighteen inches in diameter, and shall be provided with </w:t>
      </w:r>
      <w:proofErr w:type="spellStart"/>
      <w:r w:rsidRPr="00066003">
        <w:t>Ventlok</w:t>
      </w:r>
      <w:proofErr w:type="spellEnd"/>
      <w:r w:rsidRPr="00066003">
        <w:t xml:space="preserve"> No. 260 latches (latches are not required in round doors).  Latches for rectangular doors smaller than 18" x 16" shall be </w:t>
      </w:r>
      <w:proofErr w:type="spellStart"/>
      <w:r w:rsidRPr="00066003">
        <w:t>Ventlok</w:t>
      </w:r>
      <w:proofErr w:type="spellEnd"/>
      <w:r w:rsidRPr="00066003">
        <w:t xml:space="preserve"> No. 100 or 140.  Doors for zone heating coils shall be </w:t>
      </w:r>
      <w:proofErr w:type="spellStart"/>
      <w:r w:rsidRPr="00066003">
        <w:t>Ventlok</w:t>
      </w:r>
      <w:proofErr w:type="spellEnd"/>
      <w:r w:rsidRPr="00066003">
        <w:t xml:space="preserve">, stamped, insulated access doors, minimum 10" x 12", complete with latch and two (2) hinges, or twelve inches (12") in diameter.  Round access doors shall be "Inspector Series" spin in type door as manufactured by </w:t>
      </w:r>
      <w:proofErr w:type="spellStart"/>
      <w:r w:rsidRPr="00066003">
        <w:t>Flexmaster</w:t>
      </w:r>
      <w:proofErr w:type="spellEnd"/>
      <w:r w:rsidRPr="00066003">
        <w:t xml:space="preserve"> USA, or approved equal.  Doors for personnel access to ductwork shall be nominal </w:t>
      </w:r>
      <w:proofErr w:type="gramStart"/>
      <w:r w:rsidRPr="00066003">
        <w:t>twenty four</w:t>
      </w:r>
      <w:proofErr w:type="gramEnd"/>
      <w:r w:rsidRPr="00066003">
        <w:t xml:space="preserve"> inches (24") in diameter.</w:t>
      </w:r>
    </w:p>
    <w:p w:rsidR="00066003" w:rsidRDefault="00066003" w:rsidP="00B7258B">
      <w:pPr>
        <w:pStyle w:val="PR1"/>
        <w:numPr>
          <w:ilvl w:val="4"/>
          <w:numId w:val="2"/>
        </w:numPr>
      </w:pPr>
      <w:r w:rsidRPr="00066003">
        <w:t>Where these access doors are above a suspended ceiling, this Contractor shall be responsible for the proper location of the ceiling access doors.</w:t>
      </w:r>
    </w:p>
    <w:p w:rsidR="00155144" w:rsidRDefault="00155144" w:rsidP="00B7258B">
      <w:pPr>
        <w:pStyle w:val="ART"/>
      </w:pPr>
      <w:r>
        <w:lastRenderedPageBreak/>
        <w:t>SCREENS</w:t>
      </w:r>
    </w:p>
    <w:p w:rsidR="00155144" w:rsidRDefault="00066003" w:rsidP="00B7258B">
      <w:pPr>
        <w:pStyle w:val="PR1"/>
        <w:numPr>
          <w:ilvl w:val="4"/>
          <w:numId w:val="2"/>
        </w:numPr>
      </w:pPr>
      <w:r w:rsidRPr="00066003">
        <w:t>Furnish and install screens on all duct, fan, etc., openings furnished by this Contractor that lead to, or are, outdoors.  Screens shall be No. 16-gauge, one half inch (1/2") mesh in removable galvanized steel frame.  Provide safety screens meeting OSHA requirements for protection of maintenance personnel on all fan inlets and fan outlets to which no ductwork is connected.</w:t>
      </w:r>
    </w:p>
    <w:p w:rsidR="00641116" w:rsidRDefault="00066003" w:rsidP="00B7258B">
      <w:pPr>
        <w:pStyle w:val="ART"/>
      </w:pPr>
      <w:r>
        <w:t>test openings</w:t>
      </w:r>
    </w:p>
    <w:p w:rsidR="00641116" w:rsidRDefault="00066003" w:rsidP="00B7258B">
      <w:pPr>
        <w:pStyle w:val="PR1"/>
        <w:numPr>
          <w:ilvl w:val="4"/>
          <w:numId w:val="2"/>
        </w:numPr>
      </w:pPr>
      <w:r w:rsidRPr="00066003">
        <w:t xml:space="preserve">Furnish and install in the return air duct and in the discharge duct of each fan unit </w:t>
      </w:r>
      <w:proofErr w:type="spellStart"/>
      <w:r w:rsidRPr="00066003">
        <w:t>Ventlok</w:t>
      </w:r>
      <w:proofErr w:type="spellEnd"/>
      <w:r w:rsidRPr="00066003">
        <w:t xml:space="preserve"> No. 699 instrument test holes.  The test holes shall be installed in locations as required to measure pressure drops across each item in the system, e.g., O.A. louvers, filters, fans, coils, intermediate points in duct runs, etc.</w:t>
      </w:r>
    </w:p>
    <w:p w:rsidR="00066003" w:rsidRDefault="005C7677" w:rsidP="00B7258B">
      <w:pPr>
        <w:pStyle w:val="ART"/>
      </w:pPr>
      <w:r>
        <w:t>DUCT</w:t>
      </w:r>
      <w:r w:rsidR="00066003">
        <w:t xml:space="preserve"> taps (conical fittings)</w:t>
      </w:r>
    </w:p>
    <w:p w:rsidR="00066003" w:rsidRDefault="00F60F46" w:rsidP="00B7258B">
      <w:pPr>
        <w:pStyle w:val="PR1"/>
        <w:numPr>
          <w:ilvl w:val="4"/>
          <w:numId w:val="2"/>
        </w:numPr>
      </w:pPr>
      <w:r>
        <w:t>Spin in c</w:t>
      </w:r>
      <w:r w:rsidR="00066003" w:rsidRPr="00066003">
        <w:t>onical</w:t>
      </w:r>
      <w:r>
        <w:t xml:space="preserve"> </w:t>
      </w:r>
      <w:proofErr w:type="spellStart"/>
      <w:r>
        <w:t>bellmouth</w:t>
      </w:r>
      <w:proofErr w:type="spellEnd"/>
      <w:r w:rsidR="00066003" w:rsidRPr="00066003">
        <w:t xml:space="preserve"> fittings </w:t>
      </w:r>
      <w:r w:rsidR="005C7677">
        <w:t>shall</w:t>
      </w:r>
      <w:r w:rsidR="005C7677" w:rsidRPr="00066003">
        <w:t xml:space="preserve"> </w:t>
      </w:r>
      <w:r w:rsidR="00066003" w:rsidRPr="00066003">
        <w:t xml:space="preserve">be used for duct </w:t>
      </w:r>
      <w:proofErr w:type="spellStart"/>
      <w:r w:rsidR="00066003" w:rsidRPr="00066003">
        <w:t>taps</w:t>
      </w:r>
      <w:proofErr w:type="spellEnd"/>
      <w:r w:rsidR="00066003" w:rsidRPr="00066003">
        <w:t xml:space="preserve"> and shall include quadrant dampers on all lines to air devices (diffusers and grilles), even though a volume damper is specified for the air device.  </w:t>
      </w:r>
      <w:r w:rsidR="005C7677">
        <w:t xml:space="preserve">A damper is not required for medium pressure duct </w:t>
      </w:r>
      <w:proofErr w:type="spellStart"/>
      <w:r w:rsidR="005C7677">
        <w:t>taps</w:t>
      </w:r>
      <w:proofErr w:type="spellEnd"/>
      <w:r w:rsidR="005C7677">
        <w:t>.</w:t>
      </w:r>
      <w:r w:rsidR="009D5746">
        <w:t xml:space="preserve"> </w:t>
      </w:r>
      <w:r w:rsidR="00066003" w:rsidRPr="00066003">
        <w:t xml:space="preserve">Spin in fittings shall be sealed at the duct </w:t>
      </w:r>
      <w:proofErr w:type="spellStart"/>
      <w:r w:rsidR="00066003" w:rsidRPr="00066003">
        <w:t>tap</w:t>
      </w:r>
      <w:proofErr w:type="spellEnd"/>
      <w:r w:rsidR="00066003" w:rsidRPr="00066003">
        <w:t xml:space="preserve"> with a gasket, or compression fit, or sealed with sealant specified for medium pressure ductwork.  The location of spin in fittings in the ducts shall be determined after dual or single duct terminal units are hung or the location of the light fixtures is known to minimize flexible duct lengths and sharp bends.</w:t>
      </w:r>
    </w:p>
    <w:p w:rsidR="00066003" w:rsidRDefault="00066003" w:rsidP="00B7258B">
      <w:pPr>
        <w:pStyle w:val="PR1"/>
        <w:numPr>
          <w:ilvl w:val="4"/>
          <w:numId w:val="2"/>
        </w:numPr>
      </w:pPr>
      <w:r w:rsidRPr="00066003">
        <w:t>The conical fitting shall be made of at least 26-gauge galvanized sheet metal.  The construction to be a two-piece fitting with a minimum overall length of 6 inches and shall be factory sealed for high pressure requirements.  Average loss coefficient for sizes 6, 8, and 10 shall be less than 0.055.</w:t>
      </w:r>
    </w:p>
    <w:p w:rsidR="00066003" w:rsidRDefault="00066003" w:rsidP="00B7258B">
      <w:pPr>
        <w:pStyle w:val="PR1"/>
        <w:numPr>
          <w:ilvl w:val="4"/>
          <w:numId w:val="2"/>
        </w:numPr>
      </w:pPr>
      <w:r w:rsidRPr="00066003">
        <w:t>Each fitting shall be provided with a minimum 24-gauge damper plate with locking quadrant operator and sealed end bearings.  Damper blade shall be securely attached to shaft to prevent damper from rotating around shaft.</w:t>
      </w:r>
    </w:p>
    <w:p w:rsidR="00066003" w:rsidRDefault="00066003" w:rsidP="00B7258B">
      <w:pPr>
        <w:pStyle w:val="PR1"/>
        <w:numPr>
          <w:ilvl w:val="4"/>
          <w:numId w:val="2"/>
        </w:numPr>
      </w:pPr>
      <w:r w:rsidRPr="00066003">
        <w:t>Provide flange and gasket with adhesive peel-back paper for ease of application.  The fitting shall be further secured by sheet metal screws spaced evenly at no more than 4 inches on-center with a minimum of four screws per fitting.</w:t>
      </w:r>
    </w:p>
    <w:p w:rsidR="00066003" w:rsidRDefault="00066003" w:rsidP="00B7258B">
      <w:pPr>
        <w:pStyle w:val="PR1"/>
        <w:numPr>
          <w:ilvl w:val="4"/>
          <w:numId w:val="2"/>
        </w:numPr>
      </w:pPr>
      <w:r w:rsidRPr="00066003">
        <w:t xml:space="preserve">The conical </w:t>
      </w:r>
      <w:proofErr w:type="spellStart"/>
      <w:r w:rsidRPr="00066003">
        <w:t>bellmouth</w:t>
      </w:r>
      <w:proofErr w:type="spellEnd"/>
      <w:r w:rsidRPr="00066003">
        <w:t xml:space="preserve"> fitting shall be Series 3000G as manufactured by </w:t>
      </w:r>
      <w:proofErr w:type="spellStart"/>
      <w:r w:rsidRPr="00066003">
        <w:t>Flexmaster</w:t>
      </w:r>
      <w:proofErr w:type="spellEnd"/>
      <w:r w:rsidRPr="00066003">
        <w:t xml:space="preserve"> U.S.A., Inc., or Buckley Air Products, Inc., 'AIR-TITE'.</w:t>
      </w:r>
    </w:p>
    <w:p w:rsidR="00303BE5" w:rsidRDefault="00303BE5" w:rsidP="00303BE5">
      <w:pPr>
        <w:pStyle w:val="ART"/>
      </w:pPr>
      <w:r>
        <w:t>gravity ventilators</w:t>
      </w:r>
    </w:p>
    <w:p w:rsidR="00303BE5" w:rsidRPr="00A64AD4" w:rsidRDefault="00303BE5" w:rsidP="00303BE5">
      <w:pPr>
        <w:pStyle w:val="PR1"/>
        <w:numPr>
          <w:ilvl w:val="4"/>
          <w:numId w:val="2"/>
        </w:numPr>
      </w:pPr>
      <w:r w:rsidRPr="00A64AD4">
        <w:t>Provide gravity ventilators of type, size, and capacity as scheduled on the drawings.</w:t>
      </w:r>
    </w:p>
    <w:p w:rsidR="00303BE5" w:rsidRPr="00A64AD4" w:rsidRDefault="00303BE5" w:rsidP="00303BE5">
      <w:pPr>
        <w:pStyle w:val="PR1"/>
        <w:numPr>
          <w:ilvl w:val="4"/>
          <w:numId w:val="2"/>
        </w:numPr>
      </w:pPr>
      <w:r w:rsidRPr="00A64AD4">
        <w:t xml:space="preserve">Gravity ventilators shall be low silhouette with removable hood, all aluminum with curb cap, </w:t>
      </w:r>
      <w:proofErr w:type="gramStart"/>
      <w:r w:rsidRPr="00A64AD4">
        <w:t>1/2 inch</w:t>
      </w:r>
      <w:proofErr w:type="gramEnd"/>
      <w:r w:rsidRPr="00A64AD4">
        <w:t xml:space="preserve"> galvanized steel square mesh </w:t>
      </w:r>
      <w:proofErr w:type="spellStart"/>
      <w:r w:rsidRPr="00A64AD4">
        <w:t>birdscreen</w:t>
      </w:r>
      <w:proofErr w:type="spellEnd"/>
      <w:r w:rsidRPr="00A64AD4">
        <w:t xml:space="preserve">, and backdraft damper. Provide motorized damper in lieu of backdraft damper as indicated on the drawings. </w:t>
      </w:r>
    </w:p>
    <w:p w:rsidR="00303BE5" w:rsidRPr="00A64AD4" w:rsidRDefault="00303BE5" w:rsidP="00303BE5">
      <w:pPr>
        <w:pStyle w:val="PR1"/>
        <w:numPr>
          <w:ilvl w:val="4"/>
          <w:numId w:val="2"/>
        </w:numPr>
      </w:pPr>
      <w:r w:rsidRPr="00A64AD4">
        <w:t>Provide prefabricated 16-gage galvanized steel roof curb with mitered corners. Mount unit on a minimum 12” high curb base with 1-1/</w:t>
      </w:r>
      <w:proofErr w:type="gramStart"/>
      <w:r w:rsidRPr="00A64AD4">
        <w:t>2 inch thick</w:t>
      </w:r>
      <w:proofErr w:type="gramEnd"/>
      <w:r w:rsidRPr="00A64AD4">
        <w:t xml:space="preserve"> 3 pound density rigid fiberglass insulation adhered to inside walls between duct and curb. Provide curb with built-in cant and mounting flange for flat roof decks, and </w:t>
      </w:r>
      <w:proofErr w:type="gramStart"/>
      <w:r w:rsidRPr="00A64AD4">
        <w:t>2 inch</w:t>
      </w:r>
      <w:proofErr w:type="gramEnd"/>
      <w:r w:rsidRPr="00A64AD4">
        <w:t xml:space="preserve"> treated wood </w:t>
      </w:r>
      <w:proofErr w:type="spellStart"/>
      <w:r w:rsidRPr="00A64AD4">
        <w:t>nailer</w:t>
      </w:r>
      <w:proofErr w:type="spellEnd"/>
      <w:r w:rsidRPr="00A64AD4">
        <w:t>.</w:t>
      </w:r>
    </w:p>
    <w:p w:rsidR="00303BE5" w:rsidRPr="00A64AD4" w:rsidRDefault="00303BE5" w:rsidP="00303BE5">
      <w:pPr>
        <w:pStyle w:val="PR1"/>
        <w:numPr>
          <w:ilvl w:val="4"/>
          <w:numId w:val="2"/>
        </w:numPr>
      </w:pPr>
      <w:r w:rsidRPr="00A64AD4">
        <w:t>Gravity ventilators shall be coated in a factory baked enamel finish. The color of the finish shall be coordinated with the Owner/Architect.</w:t>
      </w:r>
    </w:p>
    <w:p w:rsidR="00493AB5" w:rsidRDefault="00493AB5" w:rsidP="00B7258B">
      <w:pPr>
        <w:pStyle w:val="PRT"/>
      </w:pPr>
      <w:r>
        <w:t xml:space="preserve">EXECUTION </w:t>
      </w:r>
    </w:p>
    <w:p w:rsidR="00493AB5" w:rsidRDefault="00641116" w:rsidP="00B7258B">
      <w:pPr>
        <w:pStyle w:val="ART"/>
      </w:pPr>
      <w:r>
        <w:lastRenderedPageBreak/>
        <w:t xml:space="preserve">INSTALLATION </w:t>
      </w:r>
    </w:p>
    <w:p w:rsidR="00DE3271" w:rsidRDefault="00066003" w:rsidP="00B7258B">
      <w:pPr>
        <w:pStyle w:val="PR1"/>
        <w:numPr>
          <w:ilvl w:val="4"/>
          <w:numId w:val="2"/>
        </w:numPr>
      </w:pPr>
      <w:r w:rsidRPr="00066003">
        <w:t>Install accessories in accordance with manufacturer's instructions.</w:t>
      </w:r>
    </w:p>
    <w:p w:rsidR="00066003" w:rsidRDefault="00066003" w:rsidP="00B7258B">
      <w:pPr>
        <w:pStyle w:val="PR1"/>
        <w:numPr>
          <w:ilvl w:val="4"/>
          <w:numId w:val="2"/>
        </w:numPr>
      </w:pPr>
      <w:r w:rsidRPr="00066003">
        <w:t>Provide balancing dampers at points on low pressure supply, return, and exhaust systems where branches are taken from larger ducts as required for air balancing.  Use splitter dampers only where indicated.</w:t>
      </w:r>
    </w:p>
    <w:p w:rsidR="00066003" w:rsidRDefault="00066003" w:rsidP="00B7258B">
      <w:pPr>
        <w:pStyle w:val="PR1"/>
        <w:numPr>
          <w:ilvl w:val="4"/>
          <w:numId w:val="2"/>
        </w:numPr>
      </w:pPr>
      <w:r w:rsidRPr="00066003">
        <w:t xml:space="preserve">Provide balancing dampers on medium </w:t>
      </w:r>
      <w:r w:rsidR="008546DE">
        <w:t>or</w:t>
      </w:r>
      <w:r w:rsidR="008546DE" w:rsidRPr="00066003">
        <w:t xml:space="preserve"> </w:t>
      </w:r>
      <w:proofErr w:type="gramStart"/>
      <w:r w:rsidRPr="00066003">
        <w:t>high pressure</w:t>
      </w:r>
      <w:proofErr w:type="gramEnd"/>
      <w:r w:rsidRPr="00066003">
        <w:t xml:space="preserve"> systems where indicated.</w:t>
      </w:r>
    </w:p>
    <w:p w:rsidR="00066003" w:rsidRDefault="00066003" w:rsidP="00B7258B">
      <w:pPr>
        <w:pStyle w:val="PR1"/>
        <w:numPr>
          <w:ilvl w:val="4"/>
          <w:numId w:val="2"/>
        </w:numPr>
      </w:pPr>
      <w:r w:rsidRPr="00066003">
        <w:t>Provide fire dampers, and combination fire and smoke dampers at locations indicated, where ducts and outlets pass through fire rated components.  Install with required perimeter mounting angles, sleeves, breakaway duct connections, corrosion resistant springs, bearings, bushings and hinges.</w:t>
      </w:r>
    </w:p>
    <w:p w:rsidR="00066003" w:rsidRDefault="00066003" w:rsidP="00B7258B">
      <w:pPr>
        <w:pStyle w:val="PR1"/>
        <w:numPr>
          <w:ilvl w:val="4"/>
          <w:numId w:val="2"/>
        </w:numPr>
      </w:pPr>
      <w:r w:rsidRPr="00066003">
        <w:t>Demonstrate re setting of fire dampers to Owner's representative.</w:t>
      </w:r>
    </w:p>
    <w:p w:rsidR="00066003" w:rsidRDefault="00066003" w:rsidP="00B7258B">
      <w:pPr>
        <w:pStyle w:val="PR1"/>
        <w:numPr>
          <w:ilvl w:val="4"/>
          <w:numId w:val="2"/>
        </w:numPr>
      </w:pPr>
      <w:r w:rsidRPr="00066003">
        <w:t>Provide backdraft dampers on exhaust fans or exhaust ducts where indicated.</w:t>
      </w:r>
    </w:p>
    <w:p w:rsidR="00066003" w:rsidRDefault="00066003" w:rsidP="00B7258B">
      <w:pPr>
        <w:pStyle w:val="PR1"/>
        <w:numPr>
          <w:ilvl w:val="4"/>
          <w:numId w:val="2"/>
        </w:numPr>
      </w:pPr>
      <w:r w:rsidRPr="00066003">
        <w:t xml:space="preserve">Provide flexible connections immediately adjacent to equipment in ducts associated with fans and motorized equipment.  Cover connections to medium and </w:t>
      </w:r>
      <w:proofErr w:type="gramStart"/>
      <w:r w:rsidRPr="00066003">
        <w:t>high pressure</w:t>
      </w:r>
      <w:proofErr w:type="gramEnd"/>
      <w:r w:rsidRPr="00066003">
        <w:t xml:space="preserve"> fans with leaded vinyl sheet, held in place with metal straps.</w:t>
      </w:r>
    </w:p>
    <w:p w:rsidR="00066003" w:rsidRDefault="00066003" w:rsidP="00B7258B">
      <w:pPr>
        <w:pStyle w:val="PR1"/>
        <w:numPr>
          <w:ilvl w:val="4"/>
          <w:numId w:val="2"/>
        </w:numPr>
      </w:pPr>
      <w:r w:rsidRPr="00066003">
        <w:t xml:space="preserve">Provide duct access doors for inspection and cleaning before and after duct mounted filters, coils, fans, automatic dampers, at fire dampers, and elsewhere as indicated.  Provide minimum 8 x </w:t>
      </w:r>
      <w:proofErr w:type="gramStart"/>
      <w:r w:rsidRPr="00066003">
        <w:t>8 inch</w:t>
      </w:r>
      <w:proofErr w:type="gramEnd"/>
      <w:r w:rsidRPr="00066003">
        <w:t xml:space="preserve"> (200 x 200 mm) size for hand access, 18 x 18 inch (450 x 450 mm) size for shoulder access, and as indicated.</w:t>
      </w:r>
    </w:p>
    <w:p w:rsidR="00066003" w:rsidRDefault="00066003" w:rsidP="00B7258B">
      <w:pPr>
        <w:pStyle w:val="PR1"/>
        <w:numPr>
          <w:ilvl w:val="4"/>
          <w:numId w:val="2"/>
        </w:numPr>
      </w:pPr>
      <w:r w:rsidRPr="00066003">
        <w:t>Provide duct test holes where indicated and where required for testing and balancing purposes.</w:t>
      </w:r>
    </w:p>
    <w:p w:rsidR="00493AB5" w:rsidRDefault="00641116" w:rsidP="00B7258B">
      <w:pPr>
        <w:pStyle w:val="EndnoteText"/>
      </w:pPr>
      <w:r>
        <w:t>END OF SECTION 23 33 00</w:t>
      </w:r>
    </w:p>
    <w:sectPr w:rsidR="00493AB5" w:rsidSect="00BC4F38">
      <w:headerReference w:type="even" r:id="rId13"/>
      <w:footerReference w:type="even" r:id="rId14"/>
      <w:footerReference w:type="default" r:id="rId15"/>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endnote>
  <w:endnote w:type="continuationSeparator" w:id="0">
    <w:p w:rsidR="00030A17" w:rsidRDefault="00030A17" w:rsidP="00B7258B">
      <w:r>
        <w:t xml:space="preserve"> </w:t>
      </w:r>
    </w:p>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endnote>
  <w:endnote w:type="continuationNotice" w:id="1">
    <w:p w:rsidR="00030A17" w:rsidRDefault="00030A17" w:rsidP="00B7258B">
      <w:r>
        <w:t xml:space="preserve"> </w:t>
      </w:r>
    </w:p>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932" w:rsidRDefault="007D1932" w:rsidP="007D1932">
    <w:pPr>
      <w:pStyle w:val="Footer"/>
    </w:pPr>
    <w:r>
      <w:t>DUCTWORK ACCESSORIES</w:t>
    </w:r>
  </w:p>
  <w:p w:rsidR="006A45FD" w:rsidRDefault="006A45FD" w:rsidP="00093393">
    <w:pPr>
      <w:pStyle w:val="Footer"/>
    </w:pPr>
    <w:r>
      <w:t>23 33 00</w:t>
    </w:r>
  </w:p>
  <w:p w:rsidR="006A45FD" w:rsidRDefault="006A45FD" w:rsidP="00093393">
    <w:pPr>
      <w:pStyle w:val="Footer"/>
    </w:pPr>
    <w:r>
      <w:fldChar w:fldCharType="begin"/>
    </w:r>
    <w:r>
      <w:instrText xml:space="preserve"> PAGE   \* MERGEFORMAT </w:instrText>
    </w:r>
    <w:r>
      <w:fldChar w:fldCharType="separate"/>
    </w:r>
    <w:r w:rsidR="00881386">
      <w:rPr>
        <w:noProof/>
      </w:rPr>
      <w:t>8</w:t>
    </w:r>
    <w:r>
      <w:rPr>
        <w:noProof/>
      </w:rPr>
      <w:fldChar w:fldCharType="end"/>
    </w:r>
    <w:r>
      <w:rPr>
        <w:noProof/>
      </w:rPr>
      <w:t xml:space="preserve"> OF 8</w:t>
    </w:r>
  </w:p>
  <w:p w:rsidR="00B1740E" w:rsidRDefault="00B174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932" w:rsidRDefault="007D1932" w:rsidP="007D1932">
    <w:pPr>
      <w:pStyle w:val="Footer"/>
      <w:jc w:val="right"/>
    </w:pPr>
    <w:r>
      <w:t>DUCTWORK ACCESSORIES</w:t>
    </w:r>
  </w:p>
  <w:p w:rsidR="004C41DE" w:rsidRDefault="004C41DE" w:rsidP="00093393">
    <w:pPr>
      <w:pStyle w:val="Footer"/>
      <w:jc w:val="right"/>
    </w:pPr>
    <w:r>
      <w:t>23 33 00</w:t>
    </w:r>
  </w:p>
  <w:p w:rsidR="009F1143" w:rsidRDefault="004C41DE" w:rsidP="00093393">
    <w:pPr>
      <w:pStyle w:val="Footer"/>
      <w:jc w:val="right"/>
    </w:pPr>
    <w:r>
      <w:fldChar w:fldCharType="begin"/>
    </w:r>
    <w:r>
      <w:instrText xml:space="preserve"> PAGE   \* MERGEFORMAT </w:instrText>
    </w:r>
    <w:r>
      <w:fldChar w:fldCharType="separate"/>
    </w:r>
    <w:r w:rsidR="00881386">
      <w:rPr>
        <w:noProof/>
      </w:rPr>
      <w:t>7</w:t>
    </w:r>
    <w:r>
      <w:rPr>
        <w:noProof/>
      </w:rPr>
      <w:fldChar w:fldCharType="end"/>
    </w:r>
    <w:r>
      <w:rPr>
        <w:noProof/>
      </w:rPr>
      <w:t xml:space="preserve"> OF </w:t>
    </w:r>
    <w:r w:rsidR="002610D0">
      <w:rPr>
        <w:noProof/>
      </w:rPr>
      <w:t>8</w:t>
    </w:r>
  </w:p>
  <w:p w:rsidR="00B1740E" w:rsidRDefault="00B174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A17" w:rsidRDefault="00030A17" w:rsidP="00B7258B">
      <w:r>
        <w:separator/>
      </w:r>
    </w:p>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footnote>
  <w:footnote w:type="continuationSeparator" w:id="0">
    <w:p w:rsidR="00030A17" w:rsidRDefault="00030A17" w:rsidP="00B7258B">
      <w:r>
        <w:continuationSeparator/>
      </w:r>
    </w:p>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rsidP="00B7258B"/>
    <w:p w:rsidR="00030A17" w:rsidRDefault="00030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9F1143" w:rsidRDefault="009F1143" w:rsidP="00B7258B"/>
  <w:p w:rsidR="00B1740E" w:rsidRDefault="00B174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ADA1F86"/>
    <w:lvl w:ilvl="0">
      <w:start w:val="1"/>
      <w:numFmt w:val="decimal"/>
      <w:pStyle w:val="PRT"/>
      <w:suff w:val="nothing"/>
      <w:lvlText w:val="PART %1 - "/>
      <w:lvlJc w:val="left"/>
      <w:pPr>
        <w:ind w:left="0" w:firstLine="117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cs="Times New Roman" w:hint="default"/>
        <w:b w:val="0"/>
        <w:i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68"/>
    <w:rsid w:val="000065B8"/>
    <w:rsid w:val="00030A17"/>
    <w:rsid w:val="000467E8"/>
    <w:rsid w:val="000536BA"/>
    <w:rsid w:val="00057267"/>
    <w:rsid w:val="0006509F"/>
    <w:rsid w:val="00066003"/>
    <w:rsid w:val="00080026"/>
    <w:rsid w:val="00081B2A"/>
    <w:rsid w:val="000843D1"/>
    <w:rsid w:val="00085E1F"/>
    <w:rsid w:val="00093393"/>
    <w:rsid w:val="00096ECF"/>
    <w:rsid w:val="000E30B1"/>
    <w:rsid w:val="000E75FA"/>
    <w:rsid w:val="000F4235"/>
    <w:rsid w:val="000F5E0E"/>
    <w:rsid w:val="001023B5"/>
    <w:rsid w:val="001136A4"/>
    <w:rsid w:val="001276DB"/>
    <w:rsid w:val="001278B2"/>
    <w:rsid w:val="001532D0"/>
    <w:rsid w:val="00155144"/>
    <w:rsid w:val="00160F48"/>
    <w:rsid w:val="00163A65"/>
    <w:rsid w:val="00170F5A"/>
    <w:rsid w:val="00181B7A"/>
    <w:rsid w:val="001A195E"/>
    <w:rsid w:val="001A1F45"/>
    <w:rsid w:val="001A43C0"/>
    <w:rsid w:val="001B164C"/>
    <w:rsid w:val="001D0826"/>
    <w:rsid w:val="001E0066"/>
    <w:rsid w:val="001F13B3"/>
    <w:rsid w:val="00206CB9"/>
    <w:rsid w:val="0021322A"/>
    <w:rsid w:val="00234CF0"/>
    <w:rsid w:val="002610D0"/>
    <w:rsid w:val="00272BDD"/>
    <w:rsid w:val="00290668"/>
    <w:rsid w:val="002C3340"/>
    <w:rsid w:val="002C3D12"/>
    <w:rsid w:val="002D5B5C"/>
    <w:rsid w:val="002D61FF"/>
    <w:rsid w:val="002D6787"/>
    <w:rsid w:val="002F0A86"/>
    <w:rsid w:val="003020B7"/>
    <w:rsid w:val="00303BE5"/>
    <w:rsid w:val="00327C11"/>
    <w:rsid w:val="00330372"/>
    <w:rsid w:val="003345B1"/>
    <w:rsid w:val="00335204"/>
    <w:rsid w:val="003548BC"/>
    <w:rsid w:val="00362DAC"/>
    <w:rsid w:val="00363677"/>
    <w:rsid w:val="00375F30"/>
    <w:rsid w:val="003836EE"/>
    <w:rsid w:val="003A39BA"/>
    <w:rsid w:val="003A5418"/>
    <w:rsid w:val="003C6BEA"/>
    <w:rsid w:val="003D6F36"/>
    <w:rsid w:val="003E1B83"/>
    <w:rsid w:val="003E3886"/>
    <w:rsid w:val="00440748"/>
    <w:rsid w:val="00493AB5"/>
    <w:rsid w:val="004C0848"/>
    <w:rsid w:val="004C41DE"/>
    <w:rsid w:val="004D1EFD"/>
    <w:rsid w:val="004E0570"/>
    <w:rsid w:val="004E3931"/>
    <w:rsid w:val="005028E3"/>
    <w:rsid w:val="00507176"/>
    <w:rsid w:val="00507AF5"/>
    <w:rsid w:val="005241F6"/>
    <w:rsid w:val="005372FF"/>
    <w:rsid w:val="00544EDF"/>
    <w:rsid w:val="005621C3"/>
    <w:rsid w:val="0057160D"/>
    <w:rsid w:val="00582E94"/>
    <w:rsid w:val="00586F35"/>
    <w:rsid w:val="005B6F58"/>
    <w:rsid w:val="005C493C"/>
    <w:rsid w:val="005C7677"/>
    <w:rsid w:val="005D56F2"/>
    <w:rsid w:val="00603050"/>
    <w:rsid w:val="0061197D"/>
    <w:rsid w:val="0062502D"/>
    <w:rsid w:val="00633856"/>
    <w:rsid w:val="0063733A"/>
    <w:rsid w:val="00641116"/>
    <w:rsid w:val="00647161"/>
    <w:rsid w:val="00663987"/>
    <w:rsid w:val="00692729"/>
    <w:rsid w:val="006A45FD"/>
    <w:rsid w:val="006C5556"/>
    <w:rsid w:val="006D61BA"/>
    <w:rsid w:val="006E1761"/>
    <w:rsid w:val="006E3351"/>
    <w:rsid w:val="006F15B5"/>
    <w:rsid w:val="00725977"/>
    <w:rsid w:val="007339C8"/>
    <w:rsid w:val="00792F90"/>
    <w:rsid w:val="007A36E3"/>
    <w:rsid w:val="007A7929"/>
    <w:rsid w:val="007B465D"/>
    <w:rsid w:val="007C0E4F"/>
    <w:rsid w:val="007D1932"/>
    <w:rsid w:val="007D4D8E"/>
    <w:rsid w:val="00800F7E"/>
    <w:rsid w:val="00802765"/>
    <w:rsid w:val="008201C1"/>
    <w:rsid w:val="0083209C"/>
    <w:rsid w:val="00834A79"/>
    <w:rsid w:val="0083798F"/>
    <w:rsid w:val="008456D1"/>
    <w:rsid w:val="008546DE"/>
    <w:rsid w:val="00856A4A"/>
    <w:rsid w:val="00881386"/>
    <w:rsid w:val="00897E36"/>
    <w:rsid w:val="008A09F1"/>
    <w:rsid w:val="008A1C3C"/>
    <w:rsid w:val="008B281D"/>
    <w:rsid w:val="008B5746"/>
    <w:rsid w:val="008B7639"/>
    <w:rsid w:val="008D1DA3"/>
    <w:rsid w:val="008E3DAB"/>
    <w:rsid w:val="008E6851"/>
    <w:rsid w:val="00904ABC"/>
    <w:rsid w:val="0092257D"/>
    <w:rsid w:val="00934E78"/>
    <w:rsid w:val="00942D00"/>
    <w:rsid w:val="00953104"/>
    <w:rsid w:val="009A232B"/>
    <w:rsid w:val="009B645E"/>
    <w:rsid w:val="009C5BAD"/>
    <w:rsid w:val="009D5244"/>
    <w:rsid w:val="009D5746"/>
    <w:rsid w:val="009E14F5"/>
    <w:rsid w:val="009E3932"/>
    <w:rsid w:val="009E57A8"/>
    <w:rsid w:val="009F1143"/>
    <w:rsid w:val="00A035D8"/>
    <w:rsid w:val="00A102C4"/>
    <w:rsid w:val="00A11A52"/>
    <w:rsid w:val="00A144E0"/>
    <w:rsid w:val="00A16B0C"/>
    <w:rsid w:val="00A34CD5"/>
    <w:rsid w:val="00A42617"/>
    <w:rsid w:val="00A503E8"/>
    <w:rsid w:val="00A671A8"/>
    <w:rsid w:val="00A70DBF"/>
    <w:rsid w:val="00A77627"/>
    <w:rsid w:val="00A80C10"/>
    <w:rsid w:val="00AB1E02"/>
    <w:rsid w:val="00AB7560"/>
    <w:rsid w:val="00AE11A2"/>
    <w:rsid w:val="00AE1EA8"/>
    <w:rsid w:val="00B1740E"/>
    <w:rsid w:val="00B22AF2"/>
    <w:rsid w:val="00B31384"/>
    <w:rsid w:val="00B375D9"/>
    <w:rsid w:val="00B45506"/>
    <w:rsid w:val="00B646A5"/>
    <w:rsid w:val="00B70719"/>
    <w:rsid w:val="00B7258B"/>
    <w:rsid w:val="00B744C5"/>
    <w:rsid w:val="00B74BBA"/>
    <w:rsid w:val="00B9629C"/>
    <w:rsid w:val="00BC4F38"/>
    <w:rsid w:val="00C019EE"/>
    <w:rsid w:val="00C02746"/>
    <w:rsid w:val="00C23822"/>
    <w:rsid w:val="00C4335B"/>
    <w:rsid w:val="00C52296"/>
    <w:rsid w:val="00C62324"/>
    <w:rsid w:val="00C77DAA"/>
    <w:rsid w:val="00CA0B60"/>
    <w:rsid w:val="00CC0281"/>
    <w:rsid w:val="00CC670E"/>
    <w:rsid w:val="00CE270B"/>
    <w:rsid w:val="00CF5674"/>
    <w:rsid w:val="00D03511"/>
    <w:rsid w:val="00D139C1"/>
    <w:rsid w:val="00D468CF"/>
    <w:rsid w:val="00D66DB5"/>
    <w:rsid w:val="00D86152"/>
    <w:rsid w:val="00DB70E6"/>
    <w:rsid w:val="00DC439A"/>
    <w:rsid w:val="00DE3271"/>
    <w:rsid w:val="00E02EE3"/>
    <w:rsid w:val="00E14197"/>
    <w:rsid w:val="00E24679"/>
    <w:rsid w:val="00E43C2F"/>
    <w:rsid w:val="00E5264D"/>
    <w:rsid w:val="00E67F81"/>
    <w:rsid w:val="00EA190F"/>
    <w:rsid w:val="00EB6F94"/>
    <w:rsid w:val="00EE584A"/>
    <w:rsid w:val="00F1109A"/>
    <w:rsid w:val="00F264AE"/>
    <w:rsid w:val="00F34EC4"/>
    <w:rsid w:val="00F60F46"/>
    <w:rsid w:val="00F64D93"/>
    <w:rsid w:val="00F675F4"/>
    <w:rsid w:val="00F73432"/>
    <w:rsid w:val="00F7379E"/>
    <w:rsid w:val="00FB4206"/>
    <w:rsid w:val="00FE5E8E"/>
    <w:rsid w:val="00FF1413"/>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1E10"/>
  <w15:chartTrackingRefBased/>
  <w15:docId w15:val="{EAB861DC-C9A0-47D4-AB69-0EF48397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B7258B"/>
    <w:pPr>
      <w:widowControl w:val="0"/>
    </w:pPr>
    <w:rPr>
      <w:rFonts w:ascii="Arial" w:hAnsi="Arial"/>
      <w:bCs/>
      <w:iCs/>
    </w:rPr>
  </w:style>
  <w:style w:type="paragraph" w:styleId="Heading1">
    <w:name w:val="heading 1"/>
    <w:basedOn w:val="Normal"/>
    <w:next w:val="Normal"/>
    <w:autoRedefine/>
    <w:qFormat/>
    <w:rsid w:val="00B22AF2"/>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B22AF2"/>
    <w:pPr>
      <w:keepNext/>
      <w:widowControl/>
      <w:tabs>
        <w:tab w:val="left" w:pos="6480"/>
      </w:tabs>
      <w:ind w:left="288"/>
      <w:outlineLvl w:val="1"/>
    </w:pPr>
    <w:rPr>
      <w:b/>
      <w:caps/>
      <w:sz w:val="24"/>
    </w:rPr>
  </w:style>
  <w:style w:type="paragraph" w:styleId="Heading3">
    <w:name w:val="heading 3"/>
    <w:basedOn w:val="Normal"/>
    <w:next w:val="Normal"/>
    <w:autoRedefine/>
    <w:qFormat/>
    <w:rsid w:val="00B22AF2"/>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B22AF2"/>
    <w:pPr>
      <w:widowControl/>
      <w:spacing w:before="400"/>
      <w:jc w:val="center"/>
    </w:pPr>
    <w:rPr>
      <w:b/>
      <w:caps/>
    </w:rPr>
  </w:style>
  <w:style w:type="paragraph" w:styleId="TOC9">
    <w:name w:val="toc 9"/>
    <w:basedOn w:val="Normal"/>
    <w:next w:val="Normal"/>
    <w:autoRedefine/>
    <w:semiHidden/>
    <w:rsid w:val="00B22AF2"/>
    <w:pPr>
      <w:ind w:left="1760"/>
    </w:pPr>
  </w:style>
  <w:style w:type="paragraph" w:styleId="FootnoteText">
    <w:name w:val="footnote text"/>
    <w:aliases w:val="Foot Title"/>
    <w:basedOn w:val="Normal"/>
    <w:autoRedefine/>
    <w:semiHidden/>
    <w:rsid w:val="004C41DE"/>
    <w:pPr>
      <w:jc w:val="center"/>
    </w:pPr>
    <w:rPr>
      <w:caps/>
    </w:rPr>
  </w:style>
  <w:style w:type="paragraph" w:styleId="TOC7">
    <w:name w:val="toc 7"/>
    <w:basedOn w:val="Normal"/>
    <w:next w:val="Normal"/>
    <w:autoRedefine/>
    <w:semiHidden/>
    <w:rsid w:val="00586F35"/>
    <w:pPr>
      <w:ind w:left="1200"/>
    </w:pPr>
  </w:style>
  <w:style w:type="paragraph" w:styleId="Header">
    <w:name w:val="header"/>
    <w:aliases w:val="Head Project"/>
    <w:basedOn w:val="Normal"/>
    <w:link w:val="HeaderChar"/>
    <w:autoRedefine/>
    <w:uiPriority w:val="99"/>
    <w:rsid w:val="00B22AF2"/>
    <w:pPr>
      <w:tabs>
        <w:tab w:val="center" w:pos="4320"/>
        <w:tab w:val="right" w:pos="8640"/>
      </w:tabs>
    </w:pPr>
    <w:rPr>
      <w:caps/>
    </w:rPr>
  </w:style>
  <w:style w:type="paragraph" w:styleId="Footer">
    <w:name w:val="footer"/>
    <w:basedOn w:val="Normal"/>
    <w:link w:val="FooterChar"/>
    <w:uiPriority w:val="99"/>
    <w:rsid w:val="00B22AF2"/>
    <w:pPr>
      <w:tabs>
        <w:tab w:val="center" w:pos="4320"/>
        <w:tab w:val="right" w:pos="8640"/>
      </w:tabs>
    </w:pPr>
    <w:rPr>
      <w:lang w:val="x-none" w:eastAsia="x-none"/>
    </w:rPr>
  </w:style>
  <w:style w:type="paragraph" w:customStyle="1" w:styleId="PRT">
    <w:name w:val="PRT"/>
    <w:basedOn w:val="Normal"/>
    <w:next w:val="Normal"/>
    <w:autoRedefine/>
    <w:rsid w:val="00B7258B"/>
    <w:pPr>
      <w:widowControl/>
      <w:numPr>
        <w:numId w:val="1"/>
      </w:numPr>
      <w:spacing w:before="200" w:after="200"/>
      <w:ind w:firstLine="0"/>
      <w:jc w:val="both"/>
    </w:pPr>
    <w:rPr>
      <w:b/>
    </w:rPr>
  </w:style>
  <w:style w:type="paragraph" w:customStyle="1" w:styleId="Title1">
    <w:name w:val="Title1"/>
    <w:basedOn w:val="Normal"/>
    <w:autoRedefine/>
    <w:rsid w:val="00B22AF2"/>
    <w:rPr>
      <w:b/>
      <w:caps/>
    </w:rPr>
  </w:style>
  <w:style w:type="paragraph" w:customStyle="1" w:styleId="PR1">
    <w:name w:val="PR1"/>
    <w:basedOn w:val="Normal"/>
    <w:autoRedefine/>
    <w:rsid w:val="00363677"/>
    <w:pPr>
      <w:keepLines/>
      <w:widowControl/>
      <w:numPr>
        <w:ilvl w:val="4"/>
        <w:numId w:val="1"/>
      </w:numPr>
      <w:spacing w:after="200"/>
      <w:jc w:val="both"/>
    </w:pPr>
  </w:style>
  <w:style w:type="paragraph" w:customStyle="1" w:styleId="ART">
    <w:name w:val="ART"/>
    <w:basedOn w:val="Normal"/>
    <w:next w:val="PR1"/>
    <w:link w:val="ARTChar"/>
    <w:autoRedefine/>
    <w:rsid w:val="003E3886"/>
    <w:pPr>
      <w:keepNext/>
      <w:widowControl/>
      <w:numPr>
        <w:ilvl w:val="3"/>
        <w:numId w:val="1"/>
      </w:numPr>
      <w:spacing w:after="200"/>
      <w:jc w:val="both"/>
    </w:pPr>
    <w:rPr>
      <w:b/>
      <w:caps/>
      <w:lang w:val="x-none" w:eastAsia="x-none"/>
    </w:rPr>
  </w:style>
  <w:style w:type="paragraph" w:customStyle="1" w:styleId="PR2">
    <w:name w:val="PR2"/>
    <w:basedOn w:val="Normal"/>
    <w:link w:val="PR2Char"/>
    <w:autoRedefine/>
    <w:rsid w:val="00B9629C"/>
    <w:pPr>
      <w:keepLines/>
      <w:widowControl/>
      <w:numPr>
        <w:ilvl w:val="5"/>
        <w:numId w:val="1"/>
      </w:numPr>
      <w:spacing w:after="200"/>
      <w:jc w:val="both"/>
    </w:pPr>
    <w:rPr>
      <w:bCs w:val="0"/>
      <w:lang w:val="x-none" w:eastAsia="x-none"/>
    </w:rPr>
  </w:style>
  <w:style w:type="paragraph" w:customStyle="1" w:styleId="PR3">
    <w:name w:val="PR3"/>
    <w:basedOn w:val="Normal"/>
    <w:autoRedefine/>
    <w:rsid w:val="00B22AF2"/>
    <w:pPr>
      <w:keepLines/>
      <w:widowControl/>
      <w:numPr>
        <w:ilvl w:val="6"/>
        <w:numId w:val="1"/>
      </w:numPr>
      <w:spacing w:after="200"/>
      <w:jc w:val="both"/>
    </w:pPr>
    <w:rPr>
      <w:bCs w:val="0"/>
    </w:rPr>
  </w:style>
  <w:style w:type="paragraph" w:customStyle="1" w:styleId="PR4">
    <w:name w:val="PR4"/>
    <w:basedOn w:val="Normal"/>
    <w:autoRedefine/>
    <w:rsid w:val="00B22AF2"/>
    <w:pPr>
      <w:keepLines/>
      <w:widowControl/>
      <w:numPr>
        <w:ilvl w:val="7"/>
        <w:numId w:val="1"/>
      </w:numPr>
      <w:spacing w:after="200"/>
      <w:jc w:val="both"/>
    </w:pPr>
    <w:rPr>
      <w:bCs w:val="0"/>
    </w:rPr>
  </w:style>
  <w:style w:type="paragraph" w:customStyle="1" w:styleId="PR5">
    <w:name w:val="PR5"/>
    <w:basedOn w:val="Normal"/>
    <w:autoRedefine/>
    <w:rsid w:val="00B22AF2"/>
    <w:pPr>
      <w:keepLines/>
      <w:widowControl/>
      <w:numPr>
        <w:ilvl w:val="8"/>
        <w:numId w:val="1"/>
      </w:numPr>
      <w:spacing w:after="200"/>
      <w:jc w:val="both"/>
    </w:pPr>
    <w:rPr>
      <w:bCs w:val="0"/>
    </w:rPr>
  </w:style>
  <w:style w:type="paragraph" w:customStyle="1" w:styleId="CMT">
    <w:name w:val="CMT"/>
    <w:basedOn w:val="Normal"/>
    <w:autoRedefine/>
    <w:rsid w:val="00B7258B"/>
    <w:pPr>
      <w:keepNext/>
      <w:widowControl/>
      <w:spacing w:before="200" w:after="200"/>
    </w:pPr>
    <w:rPr>
      <w:b/>
      <w:caps/>
    </w:rPr>
  </w:style>
  <w:style w:type="paragraph" w:styleId="TOC5">
    <w:name w:val="toc 5"/>
    <w:basedOn w:val="Normal"/>
    <w:next w:val="Normal"/>
    <w:autoRedefine/>
    <w:semiHidden/>
    <w:rsid w:val="00E02EE3"/>
    <w:pPr>
      <w:ind w:left="800"/>
    </w:pPr>
  </w:style>
  <w:style w:type="character" w:customStyle="1" w:styleId="ARTChar">
    <w:name w:val="ART Char"/>
    <w:link w:val="ART"/>
    <w:rsid w:val="003E3886"/>
    <w:rPr>
      <w:rFonts w:ascii="Arial" w:hAnsi="Arial"/>
      <w:b/>
      <w:bCs/>
      <w:iCs/>
      <w:caps/>
      <w:lang w:val="x-none" w:eastAsia="x-none"/>
    </w:rPr>
  </w:style>
  <w:style w:type="paragraph" w:styleId="DocumentMap">
    <w:name w:val="Document Map"/>
    <w:basedOn w:val="Normal"/>
    <w:semiHidden/>
    <w:rsid w:val="00641116"/>
    <w:pPr>
      <w:shd w:val="clear" w:color="auto" w:fill="000080"/>
    </w:pPr>
    <w:rPr>
      <w:rFonts w:ascii="Tahoma" w:hAnsi="Tahoma" w:cs="Tahoma"/>
    </w:rPr>
  </w:style>
  <w:style w:type="paragraph" w:styleId="BalloonText">
    <w:name w:val="Balloon Text"/>
    <w:basedOn w:val="Normal"/>
    <w:link w:val="BalloonTextChar"/>
    <w:rsid w:val="00F7379E"/>
    <w:rPr>
      <w:rFonts w:ascii="Tahoma" w:hAnsi="Tahoma"/>
      <w:sz w:val="16"/>
      <w:szCs w:val="16"/>
      <w:lang w:val="x-none" w:eastAsia="x-none"/>
    </w:rPr>
  </w:style>
  <w:style w:type="character" w:customStyle="1" w:styleId="BalloonTextChar">
    <w:name w:val="Balloon Text Char"/>
    <w:link w:val="BalloonText"/>
    <w:rsid w:val="00F7379E"/>
    <w:rPr>
      <w:rFonts w:ascii="Tahoma" w:hAnsi="Tahoma" w:cs="Tahoma"/>
      <w:bCs/>
      <w:iCs/>
      <w:sz w:val="16"/>
      <w:szCs w:val="16"/>
    </w:rPr>
  </w:style>
  <w:style w:type="character" w:styleId="CommentReference">
    <w:name w:val="annotation reference"/>
    <w:rsid w:val="00080026"/>
    <w:rPr>
      <w:sz w:val="16"/>
      <w:szCs w:val="16"/>
    </w:rPr>
  </w:style>
  <w:style w:type="paragraph" w:styleId="CommentText">
    <w:name w:val="annotation text"/>
    <w:basedOn w:val="Normal"/>
    <w:link w:val="CommentTextChar"/>
    <w:rsid w:val="00080026"/>
    <w:rPr>
      <w:lang w:val="x-none" w:eastAsia="x-none"/>
    </w:rPr>
  </w:style>
  <w:style w:type="character" w:customStyle="1" w:styleId="CommentTextChar">
    <w:name w:val="Comment Text Char"/>
    <w:link w:val="CommentText"/>
    <w:rsid w:val="00080026"/>
    <w:rPr>
      <w:rFonts w:ascii="Arial" w:hAnsi="Arial"/>
      <w:bCs/>
      <w:iCs/>
    </w:rPr>
  </w:style>
  <w:style w:type="paragraph" w:styleId="CommentSubject">
    <w:name w:val="annotation subject"/>
    <w:basedOn w:val="CommentText"/>
    <w:next w:val="CommentText"/>
    <w:link w:val="CommentSubjectChar"/>
    <w:rsid w:val="00080026"/>
    <w:rPr>
      <w:b/>
    </w:rPr>
  </w:style>
  <w:style w:type="character" w:customStyle="1" w:styleId="CommentSubjectChar">
    <w:name w:val="Comment Subject Char"/>
    <w:link w:val="CommentSubject"/>
    <w:rsid w:val="00080026"/>
    <w:rPr>
      <w:rFonts w:ascii="Arial" w:hAnsi="Arial"/>
      <w:b/>
      <w:bCs/>
      <w:iCs/>
    </w:rPr>
  </w:style>
  <w:style w:type="paragraph" w:customStyle="1" w:styleId="AttachmentID">
    <w:name w:val="Attachment ID"/>
    <w:basedOn w:val="Header"/>
    <w:next w:val="Normal"/>
    <w:autoRedefine/>
    <w:rsid w:val="00B22AF2"/>
    <w:pPr>
      <w:tabs>
        <w:tab w:val="clear" w:pos="4320"/>
        <w:tab w:val="clear" w:pos="8640"/>
      </w:tabs>
      <w:spacing w:before="120" w:after="240"/>
      <w:jc w:val="right"/>
    </w:pPr>
    <w:rPr>
      <w:b/>
      <w:caps w:val="0"/>
      <w:sz w:val="28"/>
    </w:rPr>
  </w:style>
  <w:style w:type="paragraph" w:customStyle="1" w:styleId="AttachmentName">
    <w:name w:val="Attachment Name"/>
    <w:basedOn w:val="Normal"/>
    <w:next w:val="Normal"/>
    <w:autoRedefine/>
    <w:rsid w:val="00B22AF2"/>
    <w:pPr>
      <w:spacing w:after="120"/>
      <w:contextualSpacing/>
      <w:jc w:val="center"/>
    </w:pPr>
    <w:rPr>
      <w:b/>
      <w:caps/>
      <w:sz w:val="28"/>
    </w:rPr>
  </w:style>
  <w:style w:type="paragraph" w:customStyle="1" w:styleId="Attachment">
    <w:name w:val="Attachment"/>
    <w:aliases w:val="Proj Number"/>
    <w:basedOn w:val="Heading3"/>
    <w:autoRedefine/>
    <w:rsid w:val="00B22AF2"/>
    <w:pPr>
      <w:tabs>
        <w:tab w:val="clear" w:pos="360"/>
        <w:tab w:val="clear" w:pos="8467"/>
      </w:tabs>
      <w:spacing w:before="120" w:after="120"/>
      <w:ind w:left="144"/>
    </w:pPr>
  </w:style>
  <w:style w:type="paragraph" w:customStyle="1" w:styleId="Comment">
    <w:name w:val="Comment"/>
    <w:basedOn w:val="Normal"/>
    <w:next w:val="Normal"/>
    <w:autoRedefine/>
    <w:rsid w:val="00B22AF2"/>
    <w:pPr>
      <w:spacing w:before="120" w:after="120"/>
    </w:pPr>
    <w:rPr>
      <w:b/>
      <w:caps/>
      <w:color w:val="0000FF"/>
      <w:sz w:val="18"/>
    </w:rPr>
  </w:style>
  <w:style w:type="paragraph" w:customStyle="1" w:styleId="PR2main">
    <w:name w:val="PR2main"/>
    <w:basedOn w:val="PR2"/>
    <w:rsid w:val="009E14F5"/>
    <w:pPr>
      <w:numPr>
        <w:ilvl w:val="0"/>
        <w:numId w:val="0"/>
      </w:numPr>
      <w:spacing w:after="0"/>
    </w:pPr>
  </w:style>
  <w:style w:type="paragraph" w:customStyle="1" w:styleId="prsub">
    <w:name w:val="prsub"/>
    <w:basedOn w:val="Normal"/>
    <w:next w:val="PR2"/>
    <w:rsid w:val="009E14F5"/>
    <w:pPr>
      <w:spacing w:after="200"/>
      <w:ind w:left="1440"/>
    </w:pPr>
  </w:style>
  <w:style w:type="character" w:customStyle="1" w:styleId="PR2Char">
    <w:name w:val="PR2 Char"/>
    <w:link w:val="PR2"/>
    <w:rsid w:val="00B9629C"/>
    <w:rPr>
      <w:rFonts w:ascii="Arial" w:hAnsi="Arial"/>
      <w:iCs/>
      <w:lang w:val="x-none" w:eastAsia="x-none"/>
    </w:rPr>
  </w:style>
  <w:style w:type="paragraph" w:styleId="Revision">
    <w:name w:val="Revision"/>
    <w:hidden/>
    <w:uiPriority w:val="99"/>
    <w:semiHidden/>
    <w:rsid w:val="00B9629C"/>
    <w:rPr>
      <w:rFonts w:ascii="Arial" w:hAnsi="Arial"/>
      <w:bCs/>
      <w:iCs/>
    </w:rPr>
  </w:style>
  <w:style w:type="character" w:customStyle="1" w:styleId="FooterChar">
    <w:name w:val="Footer Char"/>
    <w:link w:val="Footer"/>
    <w:uiPriority w:val="99"/>
    <w:rsid w:val="004C41DE"/>
    <w:rPr>
      <w:rFonts w:ascii="Arial" w:hAnsi="Arial"/>
      <w:bCs/>
      <w:iCs/>
    </w:rPr>
  </w:style>
  <w:style w:type="paragraph" w:customStyle="1" w:styleId="3">
    <w:name w:val="3"/>
    <w:basedOn w:val="Normal"/>
    <w:rsid w:val="0083798F"/>
    <w:pPr>
      <w:keepLines/>
      <w:widowControl/>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1152" w:hanging="1152"/>
      <w:jc w:val="both"/>
      <w:textAlignment w:val="baseline"/>
    </w:pPr>
    <w:rPr>
      <w:rFonts w:ascii="CG Times" w:hAnsi="CG Times"/>
      <w:bCs w:val="0"/>
      <w:iCs w:val="0"/>
      <w:spacing w:val="-3"/>
      <w:sz w:val="24"/>
    </w:rPr>
  </w:style>
  <w:style w:type="paragraph" w:customStyle="1" w:styleId="1">
    <w:name w:val="1"/>
    <w:basedOn w:val="Normal"/>
    <w:rsid w:val="0083798F"/>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character" w:customStyle="1" w:styleId="HeaderChar">
    <w:name w:val="Header Char"/>
    <w:aliases w:val="Head Project Char"/>
    <w:basedOn w:val="DefaultParagraphFont"/>
    <w:link w:val="Header"/>
    <w:uiPriority w:val="99"/>
    <w:rsid w:val="00BC4F38"/>
    <w:rPr>
      <w:rFonts w:ascii="Arial" w:hAnsi="Arial"/>
      <w:bCs/>
      <w:iCs/>
      <w:caps/>
    </w:rPr>
  </w:style>
  <w:style w:type="paragraph" w:styleId="BodyText">
    <w:name w:val="Body Text"/>
    <w:basedOn w:val="Normal"/>
    <w:link w:val="BodyTextChar"/>
    <w:rsid w:val="00BC4F38"/>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BC4F38"/>
    <w:rPr>
      <w:rFonts w:ascii="Helvetica" w:hAnsi="Helvetica"/>
      <w:i/>
    </w:rPr>
  </w:style>
  <w:style w:type="table" w:customStyle="1" w:styleId="TableGrid1">
    <w:name w:val="Table Grid1"/>
    <w:basedOn w:val="TableNormal"/>
    <w:next w:val="TableGrid"/>
    <w:uiPriority w:val="59"/>
    <w:rsid w:val="00BC4F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C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88569.54DD9E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spain\AppData\Roaming\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D790C0421DB4F97A8E77E889AE656" ma:contentTypeVersion="0" ma:contentTypeDescription="Create a new document." ma:contentTypeScope="" ma:versionID="fccf1689624abba3887496cc6159abf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261F-485D-4695-ABDA-DC90416A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FFADC9-3E20-438F-9B54-81DE4EDA4207}">
  <ds:schemaRefs>
    <ds:schemaRef ds:uri="http://schemas.microsoft.com/sharepoint/v3/contenttype/forms"/>
  </ds:schemaRefs>
</ds:datastoreItem>
</file>

<file path=customXml/itemProps3.xml><?xml version="1.0" encoding="utf-8"?>
<ds:datastoreItem xmlns:ds="http://schemas.openxmlformats.org/officeDocument/2006/customXml" ds:itemID="{F1D0E297-C57A-42AF-9FB5-A2F8328062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A0A63D-5C69-4557-A2AD-6B630A7D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22</TotalTime>
  <Pages>9</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Ductwork Accessories</vt:lpstr>
    </vt:vector>
  </TitlesOfParts>
  <Manager>CAPITAL PLANNING AND MANAGEMENT</Manager>
  <Company>UT MD ANDERSON CANCER CENTER</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Ductwork Accessories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4</cp:revision>
  <cp:lastPrinted>2006-11-10T16:43:00Z</cp:lastPrinted>
  <dcterms:created xsi:type="dcterms:W3CDTF">2017-06-12T19:10:00Z</dcterms:created>
  <dcterms:modified xsi:type="dcterms:W3CDTF">2022-11-18T16:04:00Z</dcterms:modified>
</cp:coreProperties>
</file>