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szCs w:val="20"/>
        </w:rPr>
        <w:id w:val="1170520345"/>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0113D" w:rsidRPr="00353FF9" w:rsidTr="00717FBA">
            <w:trPr>
              <w:trHeight w:val="835"/>
            </w:trPr>
            <w:tc>
              <w:tcPr>
                <w:tcW w:w="6625" w:type="dxa"/>
              </w:tcPr>
              <w:p w:rsidR="00A0113D" w:rsidRPr="00353FF9" w:rsidRDefault="00115849" w:rsidP="00353FF9">
                <w:pPr>
                  <w:tabs>
                    <w:tab w:val="center" w:pos="4680"/>
                    <w:tab w:val="right" w:pos="9360"/>
                  </w:tabs>
                </w:pPr>
                <w:r>
                  <w:rPr>
                    <w:noProof/>
                  </w:rPr>
                  <w:drawing>
                    <wp:inline distT="0" distB="0" distL="0" distR="0" wp14:anchorId="49F42513" wp14:editId="30BAF125">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A0113D" w:rsidRPr="00353FF9" w:rsidRDefault="00A0113D"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BF2B6D"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A0113D" w:rsidRPr="00353FF9" w:rsidRDefault="00A0113D"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49142D">
                  <w:rPr>
                    <w:rFonts w:ascii="MrsEaves" w:hAnsi="MrsEaves"/>
                    <w:b/>
                    <w:color w:val="1F497D" w:themeColor="text2"/>
                    <w:sz w:val="18"/>
                    <w:szCs w:val="18"/>
                  </w:rPr>
                  <w:t>Engineering</w:t>
                </w:r>
              </w:p>
              <w:p w:rsidR="00A0113D" w:rsidRPr="00353FF9" w:rsidRDefault="0049142D"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A0113D" w:rsidRPr="0049142D" w:rsidRDefault="0049142D"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0113D" w:rsidRPr="00353FF9">
                  <w:rPr>
                    <w:rFonts w:ascii="MrsEaves" w:hAnsi="MrsEaves"/>
                    <w:color w:val="000000" w:themeColor="text1"/>
                    <w:sz w:val="16"/>
                    <w:szCs w:val="16"/>
                  </w:rPr>
                  <w:t>, Texas 7</w:t>
                </w:r>
                <w:r>
                  <w:rPr>
                    <w:rFonts w:ascii="MrsEaves" w:hAnsi="MrsEaves"/>
                    <w:color w:val="000000" w:themeColor="text1"/>
                    <w:sz w:val="16"/>
                    <w:szCs w:val="16"/>
                  </w:rPr>
                  <w:t>7030</w:t>
                </w:r>
              </w:p>
              <w:p w:rsidR="00A0113D" w:rsidRPr="0049142D" w:rsidRDefault="00A0113D" w:rsidP="00353FF9">
                <w:pPr>
                  <w:tabs>
                    <w:tab w:val="center" w:pos="4680"/>
                    <w:tab w:val="right" w:pos="9360"/>
                  </w:tabs>
                  <w:rPr>
                    <w:smallCaps/>
                    <w:color w:val="DF6427"/>
                    <w:sz w:val="16"/>
                    <w:szCs w:val="16"/>
                  </w:rPr>
                </w:pPr>
                <w:r w:rsidRPr="0049142D">
                  <w:rPr>
                    <w:rFonts w:ascii="Mrs Eaves OT Bold" w:hAnsi="Mrs Eaves OT Bold"/>
                    <w:smallCaps/>
                    <w:color w:val="1F497D" w:themeColor="text2"/>
                    <w:sz w:val="16"/>
                    <w:szCs w:val="16"/>
                  </w:rPr>
                  <w:t>www.ut</w:t>
                </w:r>
                <w:r w:rsidR="0049142D" w:rsidRPr="0049142D">
                  <w:rPr>
                    <w:rFonts w:ascii="Mrs Eaves OT Bold" w:hAnsi="Mrs Eaves OT Bold"/>
                    <w:smallCaps/>
                    <w:color w:val="1F497D" w:themeColor="text2"/>
                    <w:sz w:val="16"/>
                    <w:szCs w:val="16"/>
                  </w:rPr>
                  <w:t>H</w:t>
                </w:r>
                <w:r w:rsidRPr="0049142D">
                  <w:rPr>
                    <w:rFonts w:ascii="Mrs Eaves OT Bold" w:hAnsi="Mrs Eaves OT Bold"/>
                    <w:smallCaps/>
                    <w:color w:val="1F497D" w:themeColor="text2"/>
                    <w:sz w:val="16"/>
                    <w:szCs w:val="16"/>
                  </w:rPr>
                  <w:t>.edu</w:t>
                </w:r>
              </w:p>
            </w:tc>
          </w:tr>
        </w:tbl>
        <w:p w:rsidR="00A0113D" w:rsidRDefault="00A0113D">
          <w:pPr>
            <w:rPr>
              <w:rFonts w:ascii="Times New Roman" w:hAnsi="Times New Roman"/>
            </w:rPr>
          </w:pPr>
        </w:p>
        <w:p w:rsidR="00A0113D" w:rsidRDefault="00A0113D" w:rsidP="00F05665">
          <w:pPr>
            <w:tabs>
              <w:tab w:val="left" w:pos="7685"/>
            </w:tabs>
          </w:pPr>
        </w:p>
        <w:p w:rsidR="00A0113D" w:rsidRDefault="00A0113D" w:rsidP="00F05665">
          <w:pPr>
            <w:tabs>
              <w:tab w:val="left" w:pos="7685"/>
            </w:tabs>
          </w:pPr>
        </w:p>
        <w:p w:rsidR="00A0113D" w:rsidRDefault="0049142D" w:rsidP="009E6D1F">
          <w:pPr>
            <w:spacing w:before="120"/>
            <w:jc w:val="center"/>
            <w:rPr>
              <w:rFonts w:cs="Arial"/>
              <w:b/>
              <w:i/>
              <w:color w:val="800000"/>
              <w:sz w:val="36"/>
            </w:rPr>
          </w:pPr>
          <w:r>
            <w:rPr>
              <w:rFonts w:cs="Arial"/>
              <w:b/>
              <w:i/>
              <w:color w:val="800000"/>
              <w:sz w:val="36"/>
            </w:rPr>
            <w:t>UTHealth FPE</w:t>
          </w:r>
          <w:r w:rsidR="00A0113D">
            <w:rPr>
              <w:rFonts w:cs="Arial"/>
              <w:b/>
              <w:i/>
              <w:color w:val="800000"/>
              <w:sz w:val="36"/>
            </w:rPr>
            <w:t xml:space="preserve"> Standard Specification</w:t>
          </w:r>
        </w:p>
        <w:p w:rsidR="00A0113D" w:rsidRDefault="00A0113D" w:rsidP="009E6D1F">
          <w:pPr>
            <w:jc w:val="center"/>
            <w:rPr>
              <w:rFonts w:cs="Arial"/>
              <w:b/>
              <w:color w:val="800000"/>
              <w:sz w:val="24"/>
              <w:szCs w:val="24"/>
            </w:rPr>
          </w:pPr>
        </w:p>
        <w:p w:rsidR="00A0113D" w:rsidRDefault="00A0113D"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2 13 17</w:t>
          </w:r>
        </w:p>
        <w:p w:rsidR="00A0113D" w:rsidRPr="009E6D1F" w:rsidRDefault="00A0113D" w:rsidP="009E6D1F">
          <w:pPr>
            <w:jc w:val="center"/>
            <w:rPr>
              <w:rFonts w:cs="Arial"/>
              <w:b/>
              <w:color w:val="800000"/>
              <w:sz w:val="24"/>
              <w:szCs w:val="24"/>
            </w:rPr>
          </w:pPr>
        </w:p>
        <w:p w:rsidR="00A0113D" w:rsidRDefault="00A0113D" w:rsidP="009E6D1F">
          <w:pPr>
            <w:tabs>
              <w:tab w:val="center" w:pos="4680"/>
            </w:tabs>
            <w:suppressAutoHyphens/>
            <w:jc w:val="center"/>
            <w:rPr>
              <w:rFonts w:cs="Arial"/>
              <w:b/>
              <w:color w:val="800000"/>
              <w:sz w:val="24"/>
              <w:szCs w:val="24"/>
            </w:rPr>
          </w:pPr>
          <w:r>
            <w:rPr>
              <w:rFonts w:cs="Arial"/>
              <w:b/>
              <w:color w:val="800000"/>
              <w:sz w:val="24"/>
              <w:szCs w:val="24"/>
            </w:rPr>
            <w:t>PLUMBING SPECIALTIES</w:t>
          </w:r>
        </w:p>
        <w:p w:rsidR="00A0113D" w:rsidRPr="009E6D1F" w:rsidRDefault="00A0113D" w:rsidP="009E6D1F">
          <w:pPr>
            <w:tabs>
              <w:tab w:val="center" w:pos="4680"/>
            </w:tabs>
            <w:suppressAutoHyphens/>
            <w:jc w:val="center"/>
            <w:rPr>
              <w:rFonts w:cs="Arial"/>
              <w:b/>
              <w:color w:val="FF0000"/>
              <w:sz w:val="24"/>
              <w:szCs w:val="24"/>
            </w:rPr>
          </w:pPr>
        </w:p>
        <w:p w:rsidR="00A0113D" w:rsidRDefault="00A0113D"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 xml:space="preserve">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w:t>
          </w:r>
          <w:bookmarkStart w:id="0" w:name="_GoBack"/>
          <w:bookmarkEnd w:id="0"/>
          <w:r>
            <w:rPr>
              <w:rFonts w:ascii="Arial" w:hAnsi="Arial" w:cs="Arial"/>
            </w:rPr>
            <w:t>than for a UT System project may not be done without written permission of UT System.</w:t>
          </w:r>
        </w:p>
        <w:p w:rsidR="00A0113D" w:rsidRDefault="00A0113D" w:rsidP="009E6D1F">
          <w:pPr>
            <w:spacing w:line="240" w:lineRule="atLeast"/>
            <w:ind w:right="-288"/>
            <w:jc w:val="both"/>
            <w:rPr>
              <w:rFonts w:cs="Arial"/>
              <w:i/>
            </w:rPr>
          </w:pPr>
        </w:p>
        <w:p w:rsidR="00A0113D" w:rsidRDefault="00A0113D"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A0113D" w:rsidRDefault="00A0113D" w:rsidP="009E6D1F">
          <w:pPr>
            <w:tabs>
              <w:tab w:val="left" w:pos="7685"/>
            </w:tabs>
            <w:rPr>
              <w:rFonts w:cs="Arial"/>
              <w:i/>
            </w:rPr>
          </w:pPr>
        </w:p>
        <w:p w:rsidR="00A0113D" w:rsidRDefault="00A0113D"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0113D" w:rsidRPr="009E6D1F" w:rsidTr="00717FBA">
            <w:trPr>
              <w:cantSplit/>
              <w:jc w:val="right"/>
            </w:trPr>
            <w:tc>
              <w:tcPr>
                <w:tcW w:w="1454" w:type="dxa"/>
                <w:tcBorders>
                  <w:top w:val="double" w:sz="6" w:space="0" w:color="auto"/>
                  <w:left w:val="double" w:sz="6" w:space="0" w:color="auto"/>
                  <w:bottom w:val="double" w:sz="6" w:space="0" w:color="auto"/>
                </w:tcBorders>
              </w:tcPr>
              <w:p w:rsidR="00A0113D" w:rsidRPr="009E6D1F" w:rsidRDefault="00A0113D"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A0113D" w:rsidRPr="009E6D1F" w:rsidRDefault="00A0113D"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A0113D" w:rsidRPr="009E6D1F" w:rsidRDefault="00A0113D"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A0113D" w:rsidRPr="009E6D1F" w:rsidRDefault="00A0113D" w:rsidP="009E6D1F">
                <w:pPr>
                  <w:jc w:val="center"/>
                  <w:rPr>
                    <w:rFonts w:ascii="Times New Roman" w:hAnsi="Times New Roman"/>
                    <w:sz w:val="24"/>
                    <w:szCs w:val="24"/>
                  </w:rPr>
                </w:pPr>
                <w:r w:rsidRPr="009E6D1F">
                  <w:rPr>
                    <w:rFonts w:ascii="Times New Roman" w:hAnsi="Times New Roman"/>
                    <w:sz w:val="24"/>
                    <w:szCs w:val="24"/>
                  </w:rPr>
                  <w:t>Remarks</w:t>
                </w:r>
              </w:p>
            </w:tc>
          </w:tr>
          <w:tr w:rsidR="00A0113D" w:rsidRPr="009E6D1F" w:rsidTr="00717FBA">
            <w:trPr>
              <w:cantSplit/>
              <w:jc w:val="right"/>
            </w:trPr>
            <w:tc>
              <w:tcPr>
                <w:tcW w:w="1454" w:type="dxa"/>
                <w:tcBorders>
                  <w:left w:val="double" w:sz="6" w:space="0" w:color="auto"/>
                </w:tcBorders>
              </w:tcPr>
              <w:p w:rsidR="00A0113D" w:rsidRPr="00A0113D" w:rsidRDefault="00A0113D" w:rsidP="00A0113D">
                <w:pPr>
                  <w:jc w:val="center"/>
                  <w:rPr>
                    <w:rFonts w:cs="Arial"/>
                  </w:rPr>
                </w:pPr>
                <w:r w:rsidRPr="00A0113D">
                  <w:rPr>
                    <w:rFonts w:cs="Arial"/>
                  </w:rPr>
                  <w:t>0</w:t>
                </w:r>
              </w:p>
            </w:tc>
            <w:tc>
              <w:tcPr>
                <w:tcW w:w="2088" w:type="dxa"/>
                <w:tcBorders>
                  <w:left w:val="single" w:sz="6" w:space="0" w:color="auto"/>
                </w:tcBorders>
              </w:tcPr>
              <w:p w:rsidR="00A0113D" w:rsidRPr="00A0113D" w:rsidRDefault="00A0113D" w:rsidP="00A0113D">
                <w:pPr>
                  <w:jc w:val="center"/>
                  <w:rPr>
                    <w:rFonts w:cs="Arial"/>
                  </w:rPr>
                </w:pPr>
                <w:r w:rsidRPr="00A0113D">
                  <w:rPr>
                    <w:rFonts w:cs="Arial"/>
                  </w:rPr>
                  <w:t>March 1998</w:t>
                </w:r>
              </w:p>
            </w:tc>
            <w:tc>
              <w:tcPr>
                <w:tcW w:w="1368" w:type="dxa"/>
                <w:tcBorders>
                  <w:left w:val="single" w:sz="6" w:space="0" w:color="auto"/>
                </w:tcBorders>
              </w:tcPr>
              <w:p w:rsidR="00A0113D" w:rsidRPr="00A0113D" w:rsidRDefault="00A0113D" w:rsidP="00A0113D">
                <w:pPr>
                  <w:jc w:val="center"/>
                  <w:rPr>
                    <w:rFonts w:cs="Arial"/>
                  </w:rPr>
                </w:pPr>
                <w:r w:rsidRPr="00A0113D">
                  <w:rPr>
                    <w:rFonts w:cs="Arial"/>
                  </w:rPr>
                  <w:t>11</w:t>
                </w:r>
              </w:p>
            </w:tc>
            <w:tc>
              <w:tcPr>
                <w:tcW w:w="4733" w:type="dxa"/>
                <w:tcBorders>
                  <w:left w:val="single" w:sz="6" w:space="0" w:color="auto"/>
                  <w:right w:val="double" w:sz="6" w:space="0" w:color="auto"/>
                </w:tcBorders>
              </w:tcPr>
              <w:p w:rsidR="00A0113D" w:rsidRPr="00A0113D" w:rsidRDefault="00A0113D" w:rsidP="00A0113D">
                <w:pPr>
                  <w:jc w:val="center"/>
                  <w:rPr>
                    <w:rFonts w:cs="Arial"/>
                  </w:rPr>
                </w:pPr>
                <w:r w:rsidRPr="00A0113D">
                  <w:rPr>
                    <w:rFonts w:cs="Arial"/>
                  </w:rPr>
                  <w:t xml:space="preserve">Original </w:t>
                </w:r>
              </w:p>
            </w:tc>
          </w:tr>
          <w:tr w:rsidR="00A0113D" w:rsidRPr="009E6D1F" w:rsidTr="00717FBA">
            <w:trPr>
              <w:cantSplit/>
              <w:jc w:val="right"/>
            </w:trPr>
            <w:tc>
              <w:tcPr>
                <w:tcW w:w="1454" w:type="dxa"/>
                <w:tcBorders>
                  <w:top w:val="single" w:sz="6" w:space="0" w:color="auto"/>
                  <w:left w:val="double" w:sz="6" w:space="0" w:color="auto"/>
                  <w:bottom w:val="single" w:sz="6" w:space="0" w:color="auto"/>
                </w:tcBorders>
              </w:tcPr>
              <w:p w:rsidR="00A0113D" w:rsidRPr="00A0113D" w:rsidRDefault="00A0113D" w:rsidP="00A0113D">
                <w:pPr>
                  <w:jc w:val="center"/>
                  <w:rPr>
                    <w:rFonts w:cs="Arial"/>
                  </w:rPr>
                </w:pPr>
                <w:r w:rsidRPr="00A0113D">
                  <w:rPr>
                    <w:rFonts w:cs="Arial"/>
                  </w:rPr>
                  <w:t>1</w:t>
                </w:r>
              </w:p>
            </w:tc>
            <w:tc>
              <w:tcPr>
                <w:tcW w:w="2088" w:type="dxa"/>
                <w:tcBorders>
                  <w:top w:val="single" w:sz="6" w:space="0" w:color="auto"/>
                  <w:left w:val="single" w:sz="6" w:space="0" w:color="auto"/>
                  <w:bottom w:val="single" w:sz="6" w:space="0" w:color="auto"/>
                </w:tcBorders>
              </w:tcPr>
              <w:p w:rsidR="00A0113D" w:rsidRPr="00A0113D" w:rsidRDefault="00A0113D" w:rsidP="00A0113D">
                <w:pPr>
                  <w:jc w:val="center"/>
                  <w:rPr>
                    <w:rFonts w:cs="Arial"/>
                  </w:rPr>
                </w:pPr>
                <w:r w:rsidRPr="00A0113D">
                  <w:rPr>
                    <w:rFonts w:cs="Arial"/>
                  </w:rPr>
                  <w:t>May 2004</w:t>
                </w:r>
              </w:p>
            </w:tc>
            <w:tc>
              <w:tcPr>
                <w:tcW w:w="1368" w:type="dxa"/>
                <w:tcBorders>
                  <w:top w:val="single" w:sz="6" w:space="0" w:color="auto"/>
                  <w:left w:val="single" w:sz="6" w:space="0" w:color="auto"/>
                  <w:bottom w:val="single" w:sz="6" w:space="0" w:color="auto"/>
                </w:tcBorders>
              </w:tcPr>
              <w:p w:rsidR="00A0113D" w:rsidRPr="00A0113D" w:rsidRDefault="00A0113D" w:rsidP="00A0113D">
                <w:pPr>
                  <w:jc w:val="center"/>
                  <w:rPr>
                    <w:rFonts w:cs="Arial"/>
                  </w:rPr>
                </w:pPr>
                <w:r w:rsidRPr="00A0113D">
                  <w:rPr>
                    <w:rFonts w:cs="Arial"/>
                  </w:rPr>
                  <w:t>1</w:t>
                </w:r>
              </w:p>
            </w:tc>
            <w:tc>
              <w:tcPr>
                <w:tcW w:w="4733" w:type="dxa"/>
                <w:tcBorders>
                  <w:top w:val="single" w:sz="6" w:space="0" w:color="auto"/>
                  <w:left w:val="single" w:sz="6" w:space="0" w:color="auto"/>
                  <w:bottom w:val="single" w:sz="6" w:space="0" w:color="auto"/>
                  <w:right w:val="double" w:sz="6" w:space="0" w:color="auto"/>
                </w:tcBorders>
              </w:tcPr>
              <w:p w:rsidR="00A0113D" w:rsidRPr="00A0113D" w:rsidRDefault="00A0113D" w:rsidP="00A0113D">
                <w:pPr>
                  <w:jc w:val="center"/>
                  <w:rPr>
                    <w:rFonts w:cs="Arial"/>
                  </w:rPr>
                </w:pPr>
                <w:r w:rsidRPr="00A0113D">
                  <w:rPr>
                    <w:rFonts w:cs="Arial"/>
                  </w:rPr>
                  <w:t xml:space="preserve">Revised Cover Page </w:t>
                </w:r>
              </w:p>
            </w:tc>
          </w:tr>
          <w:tr w:rsidR="00A0113D" w:rsidRPr="009E6D1F" w:rsidTr="00717FBA">
            <w:trPr>
              <w:cantSplit/>
              <w:jc w:val="right"/>
            </w:trPr>
            <w:tc>
              <w:tcPr>
                <w:tcW w:w="1454" w:type="dxa"/>
                <w:tcBorders>
                  <w:top w:val="single" w:sz="6" w:space="0" w:color="auto"/>
                  <w:left w:val="double" w:sz="6" w:space="0" w:color="auto"/>
                  <w:bottom w:val="single" w:sz="6" w:space="0" w:color="auto"/>
                </w:tcBorders>
              </w:tcPr>
              <w:p w:rsidR="00A0113D" w:rsidRPr="00A0113D" w:rsidRDefault="00A0113D" w:rsidP="00A0113D">
                <w:pPr>
                  <w:jc w:val="center"/>
                  <w:rPr>
                    <w:rFonts w:cs="Arial"/>
                  </w:rPr>
                </w:pPr>
                <w:r w:rsidRPr="00A0113D">
                  <w:rPr>
                    <w:rFonts w:cs="Arial"/>
                  </w:rPr>
                  <w:t>2</w:t>
                </w:r>
              </w:p>
            </w:tc>
            <w:tc>
              <w:tcPr>
                <w:tcW w:w="2088" w:type="dxa"/>
                <w:tcBorders>
                  <w:top w:val="single" w:sz="6" w:space="0" w:color="auto"/>
                  <w:left w:val="single" w:sz="6" w:space="0" w:color="auto"/>
                  <w:bottom w:val="single" w:sz="6" w:space="0" w:color="auto"/>
                </w:tcBorders>
              </w:tcPr>
              <w:p w:rsidR="00A0113D" w:rsidRPr="00A0113D" w:rsidRDefault="00A0113D" w:rsidP="00A0113D">
                <w:pPr>
                  <w:jc w:val="center"/>
                  <w:rPr>
                    <w:rFonts w:cs="Arial"/>
                  </w:rPr>
                </w:pPr>
                <w:r w:rsidRPr="00A0113D">
                  <w:rPr>
                    <w:rFonts w:cs="Arial"/>
                    <w:szCs w:val="24"/>
                  </w:rPr>
                  <w:t>February 2007</w:t>
                </w:r>
              </w:p>
            </w:tc>
            <w:tc>
              <w:tcPr>
                <w:tcW w:w="1368" w:type="dxa"/>
                <w:tcBorders>
                  <w:top w:val="single" w:sz="6" w:space="0" w:color="auto"/>
                  <w:left w:val="single" w:sz="6" w:space="0" w:color="auto"/>
                  <w:bottom w:val="single" w:sz="6" w:space="0" w:color="auto"/>
                </w:tcBorders>
              </w:tcPr>
              <w:p w:rsidR="00A0113D" w:rsidRPr="00A0113D" w:rsidRDefault="00A0113D" w:rsidP="00A0113D">
                <w:pPr>
                  <w:jc w:val="center"/>
                  <w:rPr>
                    <w:rFonts w:cs="Arial"/>
                  </w:rPr>
                </w:pPr>
                <w:r w:rsidRPr="00A0113D">
                  <w:rPr>
                    <w:rFonts w:cs="Arial"/>
                  </w:rPr>
                  <w:t>12</w:t>
                </w:r>
              </w:p>
            </w:tc>
            <w:tc>
              <w:tcPr>
                <w:tcW w:w="4733" w:type="dxa"/>
                <w:tcBorders>
                  <w:top w:val="single" w:sz="6" w:space="0" w:color="auto"/>
                  <w:left w:val="single" w:sz="6" w:space="0" w:color="auto"/>
                  <w:bottom w:val="single" w:sz="6" w:space="0" w:color="auto"/>
                  <w:right w:val="double" w:sz="6" w:space="0" w:color="auto"/>
                </w:tcBorders>
              </w:tcPr>
              <w:p w:rsidR="00A0113D" w:rsidRPr="00A0113D" w:rsidRDefault="00A0113D" w:rsidP="00A0113D">
                <w:pPr>
                  <w:jc w:val="center"/>
                  <w:rPr>
                    <w:rFonts w:cs="Arial"/>
                  </w:rPr>
                </w:pPr>
                <w:r w:rsidRPr="00A0113D">
                  <w:rPr>
                    <w:rFonts w:cs="Arial"/>
                    <w:szCs w:val="24"/>
                  </w:rPr>
                  <w:t>Format, 1.00</w:t>
                </w:r>
              </w:p>
            </w:tc>
          </w:tr>
          <w:tr w:rsidR="00A0113D" w:rsidRPr="009E6D1F" w:rsidTr="00717FBA">
            <w:trPr>
              <w:cantSplit/>
              <w:jc w:val="right"/>
            </w:trPr>
            <w:tc>
              <w:tcPr>
                <w:tcW w:w="1454" w:type="dxa"/>
                <w:tcBorders>
                  <w:top w:val="single" w:sz="6" w:space="0" w:color="auto"/>
                  <w:left w:val="double" w:sz="6" w:space="0" w:color="auto"/>
                  <w:bottom w:val="double" w:sz="6" w:space="0" w:color="auto"/>
                </w:tcBorders>
              </w:tcPr>
              <w:p w:rsidR="00A0113D" w:rsidRPr="00A0113D" w:rsidRDefault="00A0113D" w:rsidP="00A0113D">
                <w:pPr>
                  <w:jc w:val="center"/>
                  <w:rPr>
                    <w:rFonts w:cs="Arial"/>
                    <w:szCs w:val="24"/>
                  </w:rPr>
                </w:pPr>
                <w:r>
                  <w:rPr>
                    <w:rFonts w:cs="Arial"/>
                    <w:szCs w:val="24"/>
                  </w:rPr>
                  <w:t>3</w:t>
                </w:r>
              </w:p>
            </w:tc>
            <w:tc>
              <w:tcPr>
                <w:tcW w:w="2088" w:type="dxa"/>
                <w:tcBorders>
                  <w:top w:val="single" w:sz="6" w:space="0" w:color="auto"/>
                  <w:left w:val="single" w:sz="6" w:space="0" w:color="auto"/>
                  <w:bottom w:val="double" w:sz="6" w:space="0" w:color="auto"/>
                </w:tcBorders>
              </w:tcPr>
              <w:p w:rsidR="00A0113D" w:rsidRPr="00A0113D" w:rsidRDefault="00A0113D" w:rsidP="00A0113D">
                <w:pPr>
                  <w:jc w:val="center"/>
                  <w:rPr>
                    <w:rFonts w:cs="Arial"/>
                    <w:szCs w:val="24"/>
                  </w:rPr>
                </w:pPr>
                <w:r w:rsidRPr="00A0113D">
                  <w:rPr>
                    <w:rFonts w:cs="Arial"/>
                    <w:szCs w:val="24"/>
                  </w:rPr>
                  <w:t>Jun</w:t>
                </w:r>
                <w:r>
                  <w:rPr>
                    <w:rFonts w:cs="Arial"/>
                    <w:szCs w:val="24"/>
                  </w:rPr>
                  <w:t>e</w:t>
                </w:r>
                <w:r w:rsidRPr="00A0113D">
                  <w:rPr>
                    <w:rFonts w:cs="Arial"/>
                    <w:szCs w:val="24"/>
                  </w:rPr>
                  <w:t xml:space="preserve"> 2017</w:t>
                </w:r>
              </w:p>
            </w:tc>
            <w:tc>
              <w:tcPr>
                <w:tcW w:w="1368" w:type="dxa"/>
                <w:tcBorders>
                  <w:top w:val="single" w:sz="6" w:space="0" w:color="auto"/>
                  <w:left w:val="single" w:sz="6" w:space="0" w:color="auto"/>
                  <w:bottom w:val="double" w:sz="6" w:space="0" w:color="auto"/>
                </w:tcBorders>
              </w:tcPr>
              <w:p w:rsidR="00A0113D" w:rsidRPr="00A0113D" w:rsidRDefault="00A0113D" w:rsidP="00A0113D">
                <w:pPr>
                  <w:jc w:val="center"/>
                  <w:rPr>
                    <w:rFonts w:cs="Arial"/>
                    <w:szCs w:val="24"/>
                  </w:rPr>
                </w:pPr>
                <w:r>
                  <w:rPr>
                    <w:rFonts w:cs="Arial"/>
                    <w:szCs w:val="24"/>
                  </w:rPr>
                  <w:t>7</w:t>
                </w:r>
              </w:p>
            </w:tc>
            <w:tc>
              <w:tcPr>
                <w:tcW w:w="4733" w:type="dxa"/>
                <w:tcBorders>
                  <w:top w:val="single" w:sz="6" w:space="0" w:color="auto"/>
                  <w:left w:val="single" w:sz="6" w:space="0" w:color="auto"/>
                  <w:bottom w:val="double" w:sz="6" w:space="0" w:color="auto"/>
                  <w:right w:val="double" w:sz="6" w:space="0" w:color="auto"/>
                </w:tcBorders>
              </w:tcPr>
              <w:p w:rsidR="00A0113D" w:rsidRPr="00A0113D" w:rsidRDefault="00A0113D" w:rsidP="00A0113D">
                <w:pPr>
                  <w:jc w:val="center"/>
                  <w:rPr>
                    <w:rFonts w:cs="Arial"/>
                    <w:szCs w:val="24"/>
                  </w:rPr>
                </w:pPr>
                <w:r w:rsidRPr="00A0113D">
                  <w:rPr>
                    <w:rFonts w:cs="Arial"/>
                    <w:szCs w:val="24"/>
                  </w:rPr>
                  <w:t>Specification update</w:t>
                </w:r>
              </w:p>
            </w:tc>
          </w:tr>
        </w:tbl>
        <w:p w:rsidR="00A0113D" w:rsidRDefault="00A0113D" w:rsidP="00F05665">
          <w:pPr>
            <w:tabs>
              <w:tab w:val="left" w:pos="7685"/>
            </w:tabs>
          </w:pPr>
        </w:p>
        <w:p w:rsidR="00A0113D" w:rsidRDefault="00A0113D" w:rsidP="00F05665">
          <w:pPr>
            <w:tabs>
              <w:tab w:val="left" w:pos="7685"/>
            </w:tabs>
          </w:pPr>
        </w:p>
        <w:p w:rsidR="00A0113D" w:rsidRDefault="00A0113D" w:rsidP="00F05665">
          <w:pPr>
            <w:tabs>
              <w:tab w:val="left" w:pos="7685"/>
            </w:tabs>
          </w:pPr>
        </w:p>
        <w:p w:rsidR="00A0113D" w:rsidRDefault="00A0113D" w:rsidP="00F05665">
          <w:pPr>
            <w:tabs>
              <w:tab w:val="left" w:pos="7685"/>
            </w:tabs>
          </w:pPr>
        </w:p>
        <w:p w:rsidR="00A0113D" w:rsidRPr="00A0113D" w:rsidRDefault="00A0113D" w:rsidP="009E6D1F">
          <w:pPr>
            <w:pStyle w:val="Header"/>
            <w:spacing w:line="360" w:lineRule="auto"/>
            <w:ind w:left="-720"/>
            <w:jc w:val="center"/>
            <w:rPr>
              <w:rFonts w:ascii="Mrs Eaves OT" w:hAnsi="Mrs Eaves OT"/>
              <w:caps w:val="0"/>
              <w:color w:val="003767"/>
              <w:sz w:val="16"/>
              <w:szCs w:val="16"/>
            </w:rPr>
          </w:pPr>
          <w:r w:rsidRPr="00A0113D">
            <w:rPr>
              <w:rFonts w:ascii="Mrs Eaves OT" w:hAnsi="Mrs Eaves OT"/>
              <w:caps w:val="0"/>
              <w:color w:val="003767"/>
              <w:sz w:val="16"/>
              <w:szCs w:val="16"/>
            </w:rPr>
            <w:t xml:space="preserve">The University of Texas at Arlington </w:t>
          </w:r>
          <w:r w:rsidRPr="00A0113D">
            <w:rPr>
              <w:rFonts w:ascii="Courier New" w:hAnsi="Courier New" w:cs="Courier New"/>
              <w:caps w:val="0"/>
              <w:color w:val="003767"/>
              <w:sz w:val="16"/>
              <w:szCs w:val="16"/>
            </w:rPr>
            <w:t>·</w:t>
          </w:r>
          <w:r w:rsidRPr="00A0113D">
            <w:rPr>
              <w:rFonts w:ascii="Mrs Eaves OT" w:hAnsi="Mrs Eaves OT"/>
              <w:caps w:val="0"/>
              <w:color w:val="003767"/>
              <w:sz w:val="16"/>
              <w:szCs w:val="16"/>
            </w:rPr>
            <w:t xml:space="preserve"> The University of Texas at Austin </w:t>
          </w:r>
          <w:r w:rsidRPr="00A0113D">
            <w:rPr>
              <w:rFonts w:ascii="Courier New" w:hAnsi="Courier New" w:cs="Courier New"/>
              <w:caps w:val="0"/>
              <w:color w:val="003767"/>
              <w:sz w:val="16"/>
              <w:szCs w:val="16"/>
            </w:rPr>
            <w:t>·</w:t>
          </w:r>
          <w:r w:rsidRPr="00A0113D">
            <w:rPr>
              <w:rFonts w:ascii="Mrs Eaves OT" w:hAnsi="Mrs Eaves OT"/>
              <w:caps w:val="0"/>
              <w:color w:val="003767"/>
              <w:sz w:val="16"/>
              <w:szCs w:val="16"/>
            </w:rPr>
            <w:t xml:space="preserve"> The University of Texas at Dallas </w:t>
          </w:r>
          <w:r w:rsidRPr="00A0113D">
            <w:rPr>
              <w:rFonts w:ascii="Courier New" w:hAnsi="Courier New" w:cs="Courier New"/>
              <w:caps w:val="0"/>
              <w:color w:val="003767"/>
              <w:sz w:val="16"/>
              <w:szCs w:val="16"/>
            </w:rPr>
            <w:t>·</w:t>
          </w:r>
          <w:r w:rsidRPr="00A0113D">
            <w:rPr>
              <w:rFonts w:ascii="Mrs Eaves OT" w:hAnsi="Mrs Eaves OT"/>
              <w:caps w:val="0"/>
              <w:color w:val="003767"/>
              <w:sz w:val="16"/>
              <w:szCs w:val="16"/>
            </w:rPr>
            <w:t xml:space="preserve"> The University of Texas at El Paso</w:t>
          </w:r>
        </w:p>
        <w:p w:rsidR="00A0113D" w:rsidRPr="00A0113D" w:rsidRDefault="00A0113D" w:rsidP="009E6D1F">
          <w:pPr>
            <w:pStyle w:val="Header"/>
            <w:spacing w:line="360" w:lineRule="auto"/>
            <w:ind w:left="-720"/>
            <w:jc w:val="center"/>
            <w:rPr>
              <w:rFonts w:ascii="Mrs Eaves OT" w:hAnsi="Mrs Eaves OT"/>
              <w:caps w:val="0"/>
              <w:color w:val="003767"/>
              <w:sz w:val="16"/>
              <w:szCs w:val="16"/>
            </w:rPr>
          </w:pPr>
          <w:r w:rsidRPr="00A0113D">
            <w:rPr>
              <w:rFonts w:ascii="Mrs Eaves OT" w:hAnsi="Mrs Eaves OT"/>
              <w:caps w:val="0"/>
              <w:color w:val="003767"/>
              <w:sz w:val="16"/>
              <w:szCs w:val="16"/>
            </w:rPr>
            <w:t xml:space="preserve">The University of Texas of the Permian Basin </w:t>
          </w:r>
          <w:r w:rsidRPr="00A0113D">
            <w:rPr>
              <w:rFonts w:ascii="Courier New" w:hAnsi="Courier New" w:cs="Courier New"/>
              <w:caps w:val="0"/>
              <w:color w:val="003767"/>
              <w:sz w:val="16"/>
              <w:szCs w:val="16"/>
            </w:rPr>
            <w:t>·</w:t>
          </w:r>
          <w:r w:rsidRPr="00A0113D">
            <w:rPr>
              <w:rFonts w:ascii="Mrs Eaves OT" w:hAnsi="Mrs Eaves OT"/>
              <w:caps w:val="0"/>
              <w:color w:val="003767"/>
              <w:sz w:val="16"/>
              <w:szCs w:val="16"/>
            </w:rPr>
            <w:t xml:space="preserve"> The University of Texas Rio Grande Valley </w:t>
          </w:r>
          <w:r w:rsidRPr="00A0113D">
            <w:rPr>
              <w:rFonts w:ascii="Courier New" w:hAnsi="Courier New" w:cs="Courier New"/>
              <w:caps w:val="0"/>
              <w:color w:val="003767"/>
              <w:sz w:val="16"/>
              <w:szCs w:val="16"/>
            </w:rPr>
            <w:t>·</w:t>
          </w:r>
          <w:r w:rsidRPr="00A0113D">
            <w:rPr>
              <w:rFonts w:ascii="Mrs Eaves OT" w:hAnsi="Mrs Eaves OT"/>
              <w:caps w:val="0"/>
              <w:color w:val="003767"/>
              <w:sz w:val="16"/>
              <w:szCs w:val="16"/>
            </w:rPr>
            <w:t xml:space="preserve"> The University of Texas at San Antonio</w:t>
          </w:r>
        </w:p>
        <w:p w:rsidR="00A0113D" w:rsidRPr="002D5E9B" w:rsidRDefault="00A0113D"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A0113D" w:rsidRPr="002D5E9B" w:rsidRDefault="00A0113D"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A0113D" w:rsidRPr="00F05665" w:rsidRDefault="00A0113D"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A0113D" w:rsidRDefault="00A0113D">
          <w:pPr>
            <w:widowControl/>
            <w:rPr>
              <w:b/>
              <w:caps/>
            </w:rPr>
          </w:pPr>
          <w:r>
            <w:br w:type="page"/>
          </w:r>
        </w:p>
      </w:sdtContent>
    </w:sdt>
    <w:p w:rsidR="00E93CDC" w:rsidRDefault="009614E9" w:rsidP="00BF48EE">
      <w:pPr>
        <w:pStyle w:val="CMT"/>
      </w:pPr>
      <w:r>
        <w:lastRenderedPageBreak/>
        <w:t xml:space="preserve">SECTION 22 </w:t>
      </w:r>
      <w:r w:rsidR="00BF5873">
        <w:t>13 16.A</w:t>
      </w:r>
      <w:r>
        <w:t xml:space="preserve"> – plumbing specialties</w:t>
      </w:r>
    </w:p>
    <w:p w:rsidR="00E93CDC" w:rsidRDefault="00E93CDC" w:rsidP="0059426C">
      <w:pPr>
        <w:pStyle w:val="PRT"/>
      </w:pPr>
      <w:r>
        <w:t xml:space="preserve">GENERAL </w:t>
      </w:r>
    </w:p>
    <w:p w:rsidR="00096A14" w:rsidRPr="00BF48EE" w:rsidRDefault="00096A14" w:rsidP="00BF48EE">
      <w:pPr>
        <w:pStyle w:val="ART"/>
        <w:rPr>
          <w:b/>
        </w:rPr>
      </w:pPr>
      <w:r w:rsidRPr="00BF48EE">
        <w:rPr>
          <w:b/>
        </w:rPr>
        <w:t>The following sections are to be included as if written herein:</w:t>
      </w:r>
    </w:p>
    <w:p w:rsidR="00096A14" w:rsidRPr="002F6BAC" w:rsidRDefault="00096A14" w:rsidP="002F6BAC">
      <w:pPr>
        <w:pStyle w:val="PR1"/>
      </w:pPr>
      <w:r w:rsidRPr="002F6BAC">
        <w:t xml:space="preserve">Section </w:t>
      </w:r>
      <w:r w:rsidR="006B0F51">
        <w:t>22</w:t>
      </w:r>
      <w:r w:rsidRPr="002F6BAC">
        <w:t xml:space="preserve"> 00 00 – Basic </w:t>
      </w:r>
      <w:r w:rsidR="003070FA">
        <w:t>Plumbing</w:t>
      </w:r>
      <w:r w:rsidRPr="002F6BAC">
        <w:t xml:space="preserve"> Requirements</w:t>
      </w:r>
    </w:p>
    <w:p w:rsidR="00096A14" w:rsidRPr="002F6BAC" w:rsidRDefault="00096A14" w:rsidP="006B0F51">
      <w:pPr>
        <w:pStyle w:val="PR1"/>
      </w:pPr>
      <w:r w:rsidRPr="002F6BAC">
        <w:t xml:space="preserve">Section </w:t>
      </w:r>
      <w:r w:rsidR="006B0F51">
        <w:t>22</w:t>
      </w:r>
      <w:r w:rsidRPr="002F6BAC">
        <w:t xml:space="preserve"> 05 29 – </w:t>
      </w:r>
      <w:r w:rsidR="003070FA">
        <w:t>Plumbing Supports and Sleeves</w:t>
      </w:r>
    </w:p>
    <w:p w:rsidR="00096A14" w:rsidRDefault="00096A14" w:rsidP="002F6BAC">
      <w:pPr>
        <w:pStyle w:val="PR1"/>
      </w:pPr>
      <w:r w:rsidRPr="002F6BAC">
        <w:t>Section 2</w:t>
      </w:r>
      <w:r w:rsidR="006B0F51">
        <w:t>2</w:t>
      </w:r>
      <w:r w:rsidRPr="002F6BAC">
        <w:t xml:space="preserve"> 05 53 – </w:t>
      </w:r>
      <w:r w:rsidR="003070FA">
        <w:t>P</w:t>
      </w:r>
      <w:r w:rsidR="00933CFC">
        <w:t>lumbing</w:t>
      </w:r>
      <w:r w:rsidR="003070FA">
        <w:t xml:space="preserve"> Identification </w:t>
      </w:r>
    </w:p>
    <w:p w:rsidR="00096A14" w:rsidRPr="00BF48EE" w:rsidRDefault="00096A14" w:rsidP="002F6BAC">
      <w:pPr>
        <w:pStyle w:val="ART"/>
        <w:rPr>
          <w:b/>
        </w:rPr>
      </w:pPr>
      <w:r w:rsidRPr="00BF48EE">
        <w:rPr>
          <w:b/>
        </w:rPr>
        <w:t>SECTION INCLUDES</w:t>
      </w:r>
    </w:p>
    <w:p w:rsidR="00096A14" w:rsidRDefault="00096A14" w:rsidP="002F6BAC">
      <w:pPr>
        <w:pStyle w:val="PR1"/>
      </w:pPr>
      <w:r w:rsidRPr="002F6BAC">
        <w:t>Roof drains</w:t>
      </w:r>
    </w:p>
    <w:p w:rsidR="00DD5271" w:rsidRDefault="00DD5271" w:rsidP="002F6BAC">
      <w:pPr>
        <w:pStyle w:val="PR1"/>
      </w:pPr>
      <w:r>
        <w:t>Floor Drains and Floor Sinks</w:t>
      </w:r>
    </w:p>
    <w:p w:rsidR="00096A14" w:rsidRDefault="00096A14" w:rsidP="002F6BAC">
      <w:pPr>
        <w:pStyle w:val="PR1"/>
      </w:pPr>
      <w:r w:rsidRPr="002F6BAC">
        <w:t>Cleanouts</w:t>
      </w:r>
    </w:p>
    <w:p w:rsidR="00096A14" w:rsidRDefault="00096A14" w:rsidP="002F6BAC">
      <w:pPr>
        <w:pStyle w:val="PR1"/>
      </w:pPr>
      <w:r w:rsidRPr="002F6BAC">
        <w:t>Backflow preventers</w:t>
      </w:r>
    </w:p>
    <w:p w:rsidR="00096A14" w:rsidRDefault="00096A14" w:rsidP="002F6BAC">
      <w:pPr>
        <w:pStyle w:val="PR1"/>
      </w:pPr>
      <w:r w:rsidRPr="002F6BAC">
        <w:t>Water hammer arrestors</w:t>
      </w:r>
    </w:p>
    <w:p w:rsidR="00096A14" w:rsidRDefault="00096A14" w:rsidP="002F6BAC">
      <w:pPr>
        <w:pStyle w:val="PR1"/>
      </w:pPr>
      <w:r w:rsidRPr="002F6BAC">
        <w:t>Interceptors</w:t>
      </w:r>
    </w:p>
    <w:p w:rsidR="002F6BAC" w:rsidRPr="00BF48EE" w:rsidRDefault="00096A14" w:rsidP="002F6BAC">
      <w:pPr>
        <w:pStyle w:val="ART"/>
        <w:rPr>
          <w:b/>
        </w:rPr>
      </w:pPr>
      <w:r w:rsidRPr="00BF48EE">
        <w:rPr>
          <w:b/>
        </w:rPr>
        <w:t>PRODUCTS FURNISHED BUT NOT INSTALLED UNDER THIS SECTION</w:t>
      </w:r>
    </w:p>
    <w:p w:rsidR="002F6BAC" w:rsidRDefault="00096A14" w:rsidP="002F6BAC">
      <w:pPr>
        <w:pStyle w:val="PR1"/>
      </w:pPr>
      <w:r w:rsidRPr="002F6BAC">
        <w:t>Section [_____</w:t>
      </w:r>
      <w:r w:rsidRPr="002F6BAC">
        <w:noBreakHyphen/>
        <w:t xml:space="preserve">__________]: </w:t>
      </w:r>
    </w:p>
    <w:p w:rsidR="002F6BAC" w:rsidRPr="00BF48EE" w:rsidRDefault="00096A14" w:rsidP="002F6BAC">
      <w:pPr>
        <w:pStyle w:val="ART"/>
        <w:rPr>
          <w:b/>
        </w:rPr>
      </w:pPr>
      <w:r w:rsidRPr="00BF48EE">
        <w:rPr>
          <w:b/>
        </w:rPr>
        <w:t>PRODUCTS INSTALLED BUT NOT FURNISHED UNDER THIS SECTION</w:t>
      </w:r>
    </w:p>
    <w:p w:rsidR="002F6BAC" w:rsidRDefault="00096A14" w:rsidP="002F6BAC">
      <w:pPr>
        <w:pStyle w:val="PR1"/>
      </w:pPr>
      <w:r w:rsidRPr="002F6BAC">
        <w:t xml:space="preserve">Section 01 11 00 </w:t>
      </w:r>
      <w:r w:rsidRPr="002F6BAC">
        <w:noBreakHyphen/>
        <w:t xml:space="preserve"> Summary of Work: Owner furnished [Kitchen equipment] [Laboratory casework] [________________].</w:t>
      </w:r>
    </w:p>
    <w:p w:rsidR="002F6BAC" w:rsidRDefault="00096A14" w:rsidP="002F6BAC">
      <w:pPr>
        <w:pStyle w:val="PR1"/>
      </w:pPr>
      <w:r w:rsidRPr="002F6BAC">
        <w:t>Section [_____</w:t>
      </w:r>
      <w:r w:rsidRPr="002F6BAC">
        <w:noBreakHyphen/>
        <w:t xml:space="preserve">__________]:  Supply of grease </w:t>
      </w:r>
      <w:r w:rsidR="00E50830">
        <w:t>traps</w:t>
      </w:r>
      <w:r w:rsidRPr="002F6BAC">
        <w:t xml:space="preserve"> for placement by this Section.</w:t>
      </w:r>
    </w:p>
    <w:p w:rsidR="002F6BAC" w:rsidRDefault="00096A14" w:rsidP="002F6BAC">
      <w:pPr>
        <w:pStyle w:val="PR1"/>
      </w:pPr>
      <w:r w:rsidRPr="002F6BAC">
        <w:t>Section 23 38 16 - Fume Hoods, [_____</w:t>
      </w:r>
      <w:r w:rsidRPr="002F6BAC">
        <w:noBreakHyphen/>
        <w:t>__________]:  Laboratory casework, for connection of sinks, fixtures, and drains.</w:t>
      </w:r>
    </w:p>
    <w:p w:rsidR="002F6BAC" w:rsidRDefault="00096A14" w:rsidP="002F6BAC">
      <w:pPr>
        <w:pStyle w:val="PR1"/>
      </w:pPr>
      <w:r w:rsidRPr="002F6BAC">
        <w:t xml:space="preserve">Section 11 53 23 </w:t>
      </w:r>
      <w:r w:rsidRPr="002F6BAC">
        <w:noBreakHyphen/>
        <w:t xml:space="preserve"> Environmental Rooms:  Supply of environmental rooms, for connection of sinks, fixtures, and drains by this Section.</w:t>
      </w:r>
    </w:p>
    <w:p w:rsidR="002F6BAC" w:rsidRPr="00BF48EE" w:rsidRDefault="00096A14" w:rsidP="002F6BAC">
      <w:pPr>
        <w:pStyle w:val="ART"/>
        <w:rPr>
          <w:b/>
        </w:rPr>
      </w:pPr>
      <w:r w:rsidRPr="00BF48EE">
        <w:rPr>
          <w:b/>
        </w:rPr>
        <w:t>RELATED SECTIONS</w:t>
      </w:r>
    </w:p>
    <w:p w:rsidR="002F6BAC" w:rsidRDefault="00096A14" w:rsidP="002F6BAC">
      <w:pPr>
        <w:pStyle w:val="PR1"/>
      </w:pPr>
      <w:r w:rsidRPr="002F6BAC">
        <w:t xml:space="preserve">Section 01 11 00 </w:t>
      </w:r>
      <w:r w:rsidRPr="002F6BAC">
        <w:noBreakHyphen/>
        <w:t xml:space="preserve"> Summary of Work</w:t>
      </w:r>
    </w:p>
    <w:p w:rsidR="002F6BAC" w:rsidRDefault="00096A14" w:rsidP="002F6BAC">
      <w:pPr>
        <w:pStyle w:val="PR1"/>
      </w:pPr>
      <w:r w:rsidRPr="002F6BAC">
        <w:t xml:space="preserve">Section 33 05 13 </w:t>
      </w:r>
      <w:r w:rsidRPr="002F6BAC">
        <w:noBreakHyphen/>
        <w:t xml:space="preserve"> Manholes and Structures</w:t>
      </w:r>
    </w:p>
    <w:p w:rsidR="002F6BAC" w:rsidRDefault="00096A14" w:rsidP="002F6BAC">
      <w:pPr>
        <w:pStyle w:val="PR1"/>
      </w:pPr>
      <w:r w:rsidRPr="002F6BAC">
        <w:t xml:space="preserve">Section [_____] </w:t>
      </w:r>
      <w:r w:rsidRPr="002F6BAC">
        <w:noBreakHyphen/>
        <w:t xml:space="preserve"> [__________] Roofing:  Roof Drains</w:t>
      </w:r>
    </w:p>
    <w:p w:rsidR="002F6BAC" w:rsidRDefault="00E7074B" w:rsidP="002F6BAC">
      <w:pPr>
        <w:pStyle w:val="PR1"/>
      </w:pPr>
      <w:r>
        <w:t>Section 22 13 16</w:t>
      </w:r>
      <w:r w:rsidR="00096A14" w:rsidRPr="002F6BAC">
        <w:t xml:space="preserve"> </w:t>
      </w:r>
      <w:r w:rsidR="00096A14" w:rsidRPr="002F6BAC">
        <w:noBreakHyphen/>
        <w:t xml:space="preserve"> Plumbing Piping</w:t>
      </w:r>
    </w:p>
    <w:p w:rsidR="002F6BAC" w:rsidRDefault="00096A14" w:rsidP="002F6BAC">
      <w:pPr>
        <w:pStyle w:val="PR1"/>
      </w:pPr>
      <w:r w:rsidRPr="002F6BAC">
        <w:t xml:space="preserve">Section 22 40 00 </w:t>
      </w:r>
      <w:r w:rsidRPr="002F6BAC">
        <w:noBreakHyphen/>
        <w:t xml:space="preserve"> Plumbing Fixtures</w:t>
      </w:r>
    </w:p>
    <w:p w:rsidR="002F6BAC" w:rsidRDefault="00096A14" w:rsidP="002F6BAC">
      <w:pPr>
        <w:pStyle w:val="PR1"/>
      </w:pPr>
      <w:r w:rsidRPr="002F6BAC">
        <w:t xml:space="preserve">Section 22 11 23 </w:t>
      </w:r>
      <w:r w:rsidRPr="002F6BAC">
        <w:noBreakHyphen/>
        <w:t xml:space="preserve"> Plumbing Equipment</w:t>
      </w:r>
    </w:p>
    <w:p w:rsidR="002F6BAC" w:rsidRPr="00BF48EE" w:rsidRDefault="00096A14" w:rsidP="002F6BAC">
      <w:pPr>
        <w:pStyle w:val="ART"/>
        <w:rPr>
          <w:b/>
        </w:rPr>
      </w:pPr>
      <w:r w:rsidRPr="00BF48EE">
        <w:rPr>
          <w:b/>
        </w:rPr>
        <w:lastRenderedPageBreak/>
        <w:t>REFERENCES</w:t>
      </w:r>
    </w:p>
    <w:p w:rsidR="002F6BAC" w:rsidRDefault="00096A14" w:rsidP="002F6BAC">
      <w:pPr>
        <w:pStyle w:val="PR1"/>
      </w:pPr>
      <w:r w:rsidRPr="002F6BAC">
        <w:t xml:space="preserve">ANSI/ASSE 1011 </w:t>
      </w:r>
      <w:r w:rsidRPr="002F6BAC">
        <w:noBreakHyphen/>
        <w:t xml:space="preserve"> Hose Connection Vacuum Breakers</w:t>
      </w:r>
    </w:p>
    <w:p w:rsidR="002F6BAC" w:rsidRDefault="00096A14" w:rsidP="002F6BAC">
      <w:pPr>
        <w:pStyle w:val="PR1"/>
      </w:pPr>
      <w:r w:rsidRPr="002F6BAC">
        <w:t xml:space="preserve">ANSI/ASSE 1012 </w:t>
      </w:r>
      <w:r w:rsidRPr="002F6BAC">
        <w:noBreakHyphen/>
        <w:t xml:space="preserve"> Backflow Preventers with Immediate Atmospheric Vent</w:t>
      </w:r>
    </w:p>
    <w:p w:rsidR="002F6BAC" w:rsidRDefault="00096A14" w:rsidP="002F6BAC">
      <w:pPr>
        <w:pStyle w:val="PR1"/>
      </w:pPr>
      <w:r w:rsidRPr="002F6BAC">
        <w:t xml:space="preserve">ANSI/ASSE 1013 </w:t>
      </w:r>
      <w:r w:rsidRPr="002F6BAC">
        <w:noBreakHyphen/>
        <w:t xml:space="preserve"> Backflow Preventers, Reduced Pressure Principle</w:t>
      </w:r>
    </w:p>
    <w:p w:rsidR="002F6BAC" w:rsidRDefault="00096A14" w:rsidP="002F6BAC">
      <w:pPr>
        <w:pStyle w:val="PR1"/>
      </w:pPr>
      <w:r w:rsidRPr="002F6BAC">
        <w:t xml:space="preserve">ANSI/ASSE 1019 </w:t>
      </w:r>
      <w:r w:rsidRPr="002F6BAC">
        <w:noBreakHyphen/>
        <w:t xml:space="preserve"> Wall Hydrants, Frost Proof Automatic Draining Anti</w:t>
      </w:r>
      <w:r w:rsidRPr="002F6BAC">
        <w:noBreakHyphen/>
        <w:t>Backflow Types</w:t>
      </w:r>
    </w:p>
    <w:p w:rsidR="002F6BAC" w:rsidRDefault="00096A14" w:rsidP="002F6BAC">
      <w:pPr>
        <w:pStyle w:val="PR1"/>
      </w:pPr>
      <w:r w:rsidRPr="002F6BAC">
        <w:t xml:space="preserve">ANSI A112.21.1 </w:t>
      </w:r>
      <w:r w:rsidRPr="002F6BAC">
        <w:noBreakHyphen/>
        <w:t xml:space="preserve"> Floor Drains</w:t>
      </w:r>
    </w:p>
    <w:p w:rsidR="002F6BAC" w:rsidRDefault="00096A14" w:rsidP="002F6BAC">
      <w:pPr>
        <w:pStyle w:val="PR1"/>
      </w:pPr>
      <w:r w:rsidRPr="002F6BAC">
        <w:t xml:space="preserve">ANSI A112.21.2 </w:t>
      </w:r>
      <w:r w:rsidRPr="002F6BAC">
        <w:noBreakHyphen/>
        <w:t xml:space="preserve"> Roof Drains</w:t>
      </w:r>
    </w:p>
    <w:p w:rsidR="002F6BAC" w:rsidRDefault="00096A14" w:rsidP="002F6BAC">
      <w:pPr>
        <w:pStyle w:val="PR1"/>
      </w:pPr>
      <w:r w:rsidRPr="002F6BAC">
        <w:t xml:space="preserve">ANSI A112.26.1 </w:t>
      </w:r>
      <w:r w:rsidRPr="002F6BAC">
        <w:noBreakHyphen/>
        <w:t xml:space="preserve"> Water Hammer Arrestors</w:t>
      </w:r>
    </w:p>
    <w:p w:rsidR="002F6BAC" w:rsidRPr="002F6BAC" w:rsidRDefault="00096A14" w:rsidP="002F6BAC">
      <w:pPr>
        <w:pStyle w:val="PR1"/>
      </w:pPr>
      <w:r w:rsidRPr="002F6BAC">
        <w:t xml:space="preserve">ASTM C478 </w:t>
      </w:r>
      <w:r w:rsidRPr="002F6BAC">
        <w:noBreakHyphen/>
        <w:t xml:space="preserve"> Precast Reinforced Concrete Manhole Sections</w:t>
      </w:r>
    </w:p>
    <w:p w:rsidR="002F6BAC" w:rsidRDefault="00096A14" w:rsidP="002F6BAC">
      <w:pPr>
        <w:pStyle w:val="PR1"/>
      </w:pPr>
      <w:r w:rsidRPr="002F6BAC">
        <w:t xml:space="preserve">AWWA C506 </w:t>
      </w:r>
      <w:r w:rsidRPr="002F6BAC">
        <w:noBreakHyphen/>
        <w:t xml:space="preserve"> Backflow Prevention Devices </w:t>
      </w:r>
      <w:r w:rsidRPr="002F6BAC">
        <w:noBreakHyphen/>
        <w:t xml:space="preserve"> Reduced Pressure Principle and Double Check Valve Types</w:t>
      </w:r>
    </w:p>
    <w:p w:rsidR="002F6BAC" w:rsidRDefault="00096A14" w:rsidP="002F6BAC">
      <w:pPr>
        <w:pStyle w:val="PR1"/>
      </w:pPr>
      <w:r w:rsidRPr="002F6BAC">
        <w:t>PDI WH</w:t>
      </w:r>
      <w:r w:rsidRPr="002F6BAC">
        <w:noBreakHyphen/>
        <w:t>201 Water Hammer Arresters</w:t>
      </w:r>
    </w:p>
    <w:p w:rsidR="002F6BAC" w:rsidRPr="00BF48EE" w:rsidRDefault="00096A14" w:rsidP="002F6BAC">
      <w:pPr>
        <w:pStyle w:val="ART"/>
        <w:rPr>
          <w:b/>
        </w:rPr>
      </w:pPr>
      <w:r w:rsidRPr="00BF48EE">
        <w:rPr>
          <w:b/>
        </w:rPr>
        <w:t>SUBMITTALS</w:t>
      </w:r>
    </w:p>
    <w:p w:rsidR="002F6BAC" w:rsidRDefault="00096A14" w:rsidP="002F6BAC">
      <w:pPr>
        <w:pStyle w:val="PR1"/>
      </w:pPr>
      <w:r w:rsidRPr="002F6BAC">
        <w:t xml:space="preserve">Submit under provisions of Section </w:t>
      </w:r>
      <w:r w:rsidR="003070FA">
        <w:t>22</w:t>
      </w:r>
      <w:r w:rsidRPr="002F6BAC">
        <w:t xml:space="preserve"> 00 00.</w:t>
      </w:r>
    </w:p>
    <w:p w:rsidR="002F6BAC" w:rsidRDefault="00096A14" w:rsidP="002F6BAC">
      <w:pPr>
        <w:pStyle w:val="PR1"/>
      </w:pPr>
      <w:r w:rsidRPr="002F6BAC">
        <w:t>Shop Drawings:  Indicate dimensions, weights, and placement of openings and holes.</w:t>
      </w:r>
    </w:p>
    <w:p w:rsidR="002F6BAC" w:rsidRDefault="00096A14" w:rsidP="002F6BAC">
      <w:pPr>
        <w:pStyle w:val="PR1"/>
      </w:pPr>
      <w:r w:rsidRPr="002F6BAC">
        <w:t>Product Data:  Provide component sizes, rough</w:t>
      </w:r>
      <w:r w:rsidRPr="002F6BAC">
        <w:noBreakHyphen/>
        <w:t>in requirements, service sizes, and finishes.</w:t>
      </w:r>
    </w:p>
    <w:p w:rsidR="002F6BAC" w:rsidRDefault="00096A14" w:rsidP="002F6BAC">
      <w:pPr>
        <w:pStyle w:val="PR1"/>
      </w:pPr>
      <w:r w:rsidRPr="002F6BAC">
        <w:t>Manufacturer's Installation Instructions: Indicate assembly and support requirements.</w:t>
      </w:r>
    </w:p>
    <w:p w:rsidR="002F6BAC" w:rsidRDefault="00096A14" w:rsidP="002F6BAC">
      <w:pPr>
        <w:pStyle w:val="PR1"/>
      </w:pPr>
      <w:r w:rsidRPr="002F6BAC">
        <w:t>Manufacturer's Certificate:  Certify that oil interceptors meet or exceed specified requirements.</w:t>
      </w:r>
    </w:p>
    <w:p w:rsidR="002F6BAC" w:rsidRPr="00BF48EE" w:rsidRDefault="00096A14" w:rsidP="002F6BAC">
      <w:pPr>
        <w:pStyle w:val="ART"/>
        <w:rPr>
          <w:b/>
        </w:rPr>
      </w:pPr>
      <w:r w:rsidRPr="00BF48EE">
        <w:rPr>
          <w:b/>
        </w:rPr>
        <w:t>PROJECT RECORD DOCUMENTS</w:t>
      </w:r>
    </w:p>
    <w:p w:rsidR="002F6BAC" w:rsidRDefault="00096A14" w:rsidP="002F6BAC">
      <w:pPr>
        <w:pStyle w:val="PR1"/>
      </w:pPr>
      <w:r w:rsidRPr="002F6BAC">
        <w:t xml:space="preserve">Submit under provisions of Section </w:t>
      </w:r>
      <w:r w:rsidR="003070FA">
        <w:t>22</w:t>
      </w:r>
      <w:r w:rsidRPr="002F6BAC">
        <w:t xml:space="preserve"> 00 00.</w:t>
      </w:r>
    </w:p>
    <w:p w:rsidR="002F6BAC" w:rsidRDefault="00096A14" w:rsidP="002F6BAC">
      <w:pPr>
        <w:pStyle w:val="PR1"/>
      </w:pPr>
      <w:r w:rsidRPr="002F6BAC">
        <w:t>Record actual locations of equipment, cleanouts, backflow preventers, etc.</w:t>
      </w:r>
    </w:p>
    <w:p w:rsidR="002F6BAC" w:rsidRPr="00BF48EE" w:rsidRDefault="00096A14" w:rsidP="002F6BAC">
      <w:pPr>
        <w:pStyle w:val="ART"/>
        <w:rPr>
          <w:b/>
        </w:rPr>
      </w:pPr>
      <w:r w:rsidRPr="00BF48EE">
        <w:rPr>
          <w:b/>
        </w:rPr>
        <w:t>OPERATION AND MAINTENANCE DATA</w:t>
      </w:r>
    </w:p>
    <w:p w:rsidR="002F6BAC" w:rsidRDefault="00096A14" w:rsidP="002F6BAC">
      <w:pPr>
        <w:pStyle w:val="PR1"/>
      </w:pPr>
      <w:r w:rsidRPr="002F6BAC">
        <w:t xml:space="preserve">Submit under provisions of Section </w:t>
      </w:r>
      <w:r w:rsidR="003070FA">
        <w:t>22</w:t>
      </w:r>
      <w:r w:rsidRPr="002F6BAC">
        <w:t xml:space="preserve"> 00 00.</w:t>
      </w:r>
    </w:p>
    <w:p w:rsidR="002F6BAC" w:rsidRDefault="00096A14" w:rsidP="002F6BAC">
      <w:pPr>
        <w:pStyle w:val="PR1"/>
      </w:pPr>
      <w:r w:rsidRPr="002F6BAC">
        <w:t>Operation Data:  Indicate frequency of treatment required for interceptors.</w:t>
      </w:r>
    </w:p>
    <w:p w:rsidR="002F6BAC" w:rsidRDefault="00096A14" w:rsidP="002F6BAC">
      <w:pPr>
        <w:pStyle w:val="PR1"/>
      </w:pPr>
      <w:r w:rsidRPr="002F6BAC">
        <w:t>Maintenance Data:  Include installation instructions, spare parts lists, exploded assembly views.</w:t>
      </w:r>
    </w:p>
    <w:p w:rsidR="002F6BAC" w:rsidRPr="00BF48EE" w:rsidRDefault="00096A14" w:rsidP="002F6BAC">
      <w:pPr>
        <w:pStyle w:val="ART"/>
        <w:rPr>
          <w:b/>
        </w:rPr>
      </w:pPr>
      <w:r w:rsidRPr="00BF48EE">
        <w:rPr>
          <w:b/>
        </w:rPr>
        <w:t>DELIVERY, STORAGE, AND HANDLING</w:t>
      </w:r>
    </w:p>
    <w:p w:rsidR="002F6BAC" w:rsidRDefault="00096A14" w:rsidP="002F6BAC">
      <w:pPr>
        <w:pStyle w:val="PR1"/>
      </w:pPr>
      <w:r w:rsidRPr="002F6BAC">
        <w:t xml:space="preserve">Deliver, store, protect and handle products to site under provisions of Section </w:t>
      </w:r>
      <w:r w:rsidR="003070FA">
        <w:t>22</w:t>
      </w:r>
      <w:r w:rsidRPr="002F6BAC">
        <w:t xml:space="preserve"> 00 00.</w:t>
      </w:r>
    </w:p>
    <w:p w:rsidR="002F6BAC" w:rsidRDefault="00096A14" w:rsidP="002F6BAC">
      <w:pPr>
        <w:pStyle w:val="PR1"/>
      </w:pPr>
      <w:r w:rsidRPr="002F6BAC">
        <w:t>Accept specialties on site in original factory packaging.  Inspect for damage.</w:t>
      </w:r>
    </w:p>
    <w:p w:rsidR="002F6BAC" w:rsidRPr="00BF48EE" w:rsidRDefault="003070FA" w:rsidP="002F6BAC">
      <w:pPr>
        <w:pStyle w:val="ART"/>
        <w:rPr>
          <w:b/>
        </w:rPr>
      </w:pPr>
      <w:r w:rsidRPr="00BF48EE">
        <w:rPr>
          <w:b/>
        </w:rPr>
        <w:t>E</w:t>
      </w:r>
      <w:r w:rsidR="00096A14" w:rsidRPr="00BF48EE">
        <w:rPr>
          <w:b/>
        </w:rPr>
        <w:t>XTRA MATERIALS</w:t>
      </w:r>
    </w:p>
    <w:p w:rsidR="002F6BAC" w:rsidRDefault="00096A14" w:rsidP="002F6BAC">
      <w:pPr>
        <w:pStyle w:val="PR1"/>
      </w:pPr>
      <w:r w:rsidRPr="002F6BAC">
        <w:t xml:space="preserve">Furnish under provisions of Section </w:t>
      </w:r>
      <w:r w:rsidR="003070FA">
        <w:t>22</w:t>
      </w:r>
      <w:r w:rsidRPr="002F6BAC">
        <w:t xml:space="preserve"> 00 00.</w:t>
      </w:r>
    </w:p>
    <w:p w:rsidR="00096A14" w:rsidRPr="002F6BAC" w:rsidRDefault="00096A14" w:rsidP="002F6BAC">
      <w:pPr>
        <w:pStyle w:val="PR1"/>
      </w:pPr>
      <w:r w:rsidRPr="002F6BAC">
        <w:lastRenderedPageBreak/>
        <w:t>Provide two loose keys for each type of manhole cover and valve box.</w:t>
      </w:r>
    </w:p>
    <w:p w:rsidR="00E93CDC" w:rsidRDefault="00E93CDC" w:rsidP="0059426C">
      <w:pPr>
        <w:pStyle w:val="PRT"/>
      </w:pPr>
      <w:r>
        <w:t xml:space="preserve">PRODUCTS </w:t>
      </w:r>
    </w:p>
    <w:p w:rsidR="00E93CDC" w:rsidRPr="00BF48EE" w:rsidRDefault="00266606" w:rsidP="00B12E4F">
      <w:pPr>
        <w:pStyle w:val="ART"/>
        <w:rPr>
          <w:b/>
        </w:rPr>
      </w:pPr>
      <w:r w:rsidRPr="00BF48EE">
        <w:rPr>
          <w:b/>
        </w:rPr>
        <w:t>roof and area drains:</w:t>
      </w:r>
      <w:r w:rsidR="00F54438" w:rsidRPr="00BF48EE">
        <w:rPr>
          <w:b/>
        </w:rPr>
        <w:t xml:space="preserve"> </w:t>
      </w:r>
    </w:p>
    <w:p w:rsidR="00F54438" w:rsidRPr="0059426C" w:rsidRDefault="007E7D13" w:rsidP="00266606">
      <w:pPr>
        <w:pStyle w:val="PR1"/>
      </w:pPr>
      <w:r w:rsidRPr="007E7D13">
        <w:t xml:space="preserve">All roof and area drains will be furnished and installed by the Mechanical Contractor with all accessories required for the particular construction in which they are to be mounted.  Area drains shall be as manufactured by Wade, Josam, Jay R, Smith, </w:t>
      </w:r>
      <w:r w:rsidR="00410A21">
        <w:t xml:space="preserve">Mi-Fab </w:t>
      </w:r>
      <w:r w:rsidRPr="007E7D13">
        <w:t>or Zurn.</w:t>
      </w:r>
    </w:p>
    <w:p w:rsidR="007E7D13" w:rsidRPr="00BF48EE" w:rsidRDefault="007E7D13" w:rsidP="00266606">
      <w:pPr>
        <w:pStyle w:val="PR1"/>
        <w:rPr>
          <w:b/>
        </w:rPr>
      </w:pPr>
      <w:r w:rsidRPr="007E7D13">
        <w:t xml:space="preserve">Roof Drain Type A (RD "A"):  </w:t>
      </w:r>
      <w:r w:rsidR="0069454A" w:rsidRPr="007E7D13">
        <w:t>Wade</w:t>
      </w:r>
      <w:r w:rsidR="0069454A">
        <w:t xml:space="preserve"> No</w:t>
      </w:r>
      <w:r>
        <w:t>. 3000-5-39-52-53</w:t>
      </w:r>
      <w:r w:rsidRPr="007E7D13">
        <w:t xml:space="preserve">, </w:t>
      </w:r>
      <w:r>
        <w:t xml:space="preserve">galvanized </w:t>
      </w:r>
      <w:r w:rsidRPr="007E7D13">
        <w:t xml:space="preserve">cast iron </w:t>
      </w:r>
      <w:r>
        <w:t xml:space="preserve">body with </w:t>
      </w:r>
      <w:r w:rsidRPr="007E7D13">
        <w:t xml:space="preserve">flashing </w:t>
      </w:r>
      <w:r w:rsidRPr="00BF48EE">
        <w:rPr>
          <w:b/>
        </w:rPr>
        <w:t>clamp, sump receiver, underdeck clam, mushroom cast iron dome strainer and large sump.</w:t>
      </w:r>
    </w:p>
    <w:p w:rsidR="00DF5B9F" w:rsidRPr="0059426C" w:rsidRDefault="00DF5B9F" w:rsidP="00266606">
      <w:pPr>
        <w:pStyle w:val="PR1"/>
      </w:pPr>
      <w:r>
        <w:t>Overflow Drain Type (O</w:t>
      </w:r>
      <w:r w:rsidR="00410A21">
        <w:t>D</w:t>
      </w:r>
      <w:r>
        <w:t xml:space="preserve"> “A”): Wade No. 3000-5-39-52-53-</w:t>
      </w:r>
      <w:r w:rsidR="00A459DC">
        <w:t>S</w:t>
      </w:r>
      <w:r>
        <w:t xml:space="preserve">D, cast iron body with flashing clamp, sump receiver, underdeck clamp, mushroom galvanized cast iron dome strainer, large sump </w:t>
      </w:r>
      <w:proofErr w:type="gramStart"/>
      <w:r>
        <w:t>with  PVC</w:t>
      </w:r>
      <w:proofErr w:type="gramEnd"/>
      <w:r>
        <w:t xml:space="preserve"> standpipe or adjustable height internal water dam. Cut and/or adjust height of standpipe or internal water dam to code required height (2”).</w:t>
      </w:r>
    </w:p>
    <w:p w:rsidR="00DF5B9F" w:rsidRPr="0059426C" w:rsidRDefault="0069454A" w:rsidP="00266606">
      <w:pPr>
        <w:pStyle w:val="PR1"/>
      </w:pPr>
      <w:r>
        <w:t>Downspout</w:t>
      </w:r>
      <w:r w:rsidR="00DF5B9F">
        <w:t xml:space="preserve"> Nozzle: Wade No. 3940-NH-</w:t>
      </w:r>
      <w:r w:rsidR="00A459DC">
        <w:t>1-166</w:t>
      </w:r>
      <w:r w:rsidR="00DF5B9F">
        <w:t>, nickel bronze downspout nozzle with no-hub inlet, stainless steel bird screen, polished finish, outlet tongue, and securing ring.</w:t>
      </w:r>
    </w:p>
    <w:p w:rsidR="00746F60" w:rsidRPr="00BF48EE" w:rsidRDefault="00884377" w:rsidP="00B12E4F">
      <w:pPr>
        <w:pStyle w:val="ART"/>
        <w:rPr>
          <w:b/>
        </w:rPr>
      </w:pPr>
      <w:r w:rsidRPr="00BF48EE">
        <w:rPr>
          <w:b/>
        </w:rPr>
        <w:t>floor drains</w:t>
      </w:r>
      <w:r w:rsidR="00266606" w:rsidRPr="00BF48EE">
        <w:rPr>
          <w:b/>
        </w:rPr>
        <w:t>:</w:t>
      </w:r>
    </w:p>
    <w:p w:rsidR="00D56DDD" w:rsidRPr="00884377" w:rsidRDefault="00884377" w:rsidP="00266606">
      <w:pPr>
        <w:pStyle w:val="PR1"/>
      </w:pPr>
      <w:r w:rsidRPr="00884377">
        <w:t>Floor drains (F.D.) shall be sized to conform to the information indicated on the Drawings or contained elsewhere in these Specifications.  Extreme care shall be used to set the elevation of the drain to meet the low point elevation of the finished floor.  Each floor drain shall be provided with a P</w:t>
      </w:r>
      <w:r w:rsidRPr="00884377">
        <w:noBreakHyphen/>
        <w:t xml:space="preserve">trap unless noted otherwise.  Note that a deep seal type trap may be required under other </w:t>
      </w:r>
      <w:r w:rsidRPr="00884377">
        <w:rPr>
          <w:szCs w:val="24"/>
        </w:rPr>
        <w:t>Sections</w:t>
      </w:r>
      <w:r w:rsidRPr="00884377">
        <w:t xml:space="preserve"> of these Specifications</w:t>
      </w:r>
      <w:r>
        <w:t>.</w:t>
      </w:r>
      <w:r w:rsidR="00746F60" w:rsidRPr="00884377">
        <w:t xml:space="preserve"> </w:t>
      </w:r>
    </w:p>
    <w:p w:rsidR="00884377" w:rsidRPr="00884377" w:rsidRDefault="00884377" w:rsidP="00266606">
      <w:pPr>
        <w:pStyle w:val="PR1"/>
      </w:pPr>
      <w:r w:rsidRPr="00884377">
        <w:t>All floor drains will be furnished and installed with all accessories required for the particular construction in which they are to be mounted; and sh</w:t>
      </w:r>
      <w:r w:rsidR="006E53F9">
        <w:t>all be as manufactured by Wade</w:t>
      </w:r>
      <w:r w:rsidR="00E7074B">
        <w:t>, Jay R. Smith,</w:t>
      </w:r>
      <w:r w:rsidRPr="00884377">
        <w:t xml:space="preserve"> </w:t>
      </w:r>
      <w:r w:rsidR="00410A21">
        <w:t xml:space="preserve">Mi-Fab </w:t>
      </w:r>
      <w:r>
        <w:t xml:space="preserve">or </w:t>
      </w:r>
      <w:r w:rsidRPr="00884377">
        <w:t>Zurn</w:t>
      </w:r>
      <w:r>
        <w:t>.</w:t>
      </w:r>
    </w:p>
    <w:p w:rsidR="00746F60" w:rsidRDefault="00884377" w:rsidP="00266606">
      <w:pPr>
        <w:pStyle w:val="PR1"/>
      </w:pPr>
      <w:r w:rsidRPr="00884377">
        <w:t>Floor Drain (</w:t>
      </w:r>
      <w:r w:rsidR="00BD6EEC">
        <w:t>In Finished Areas</w:t>
      </w:r>
      <w:r w:rsidRPr="00884377">
        <w:t>) Type A (FD "A"):  Wade</w:t>
      </w:r>
      <w:r w:rsidR="00410A21">
        <w:t xml:space="preserve"> </w:t>
      </w:r>
      <w:r w:rsidR="00BD6EEC">
        <w:t>No. 1100-AX</w:t>
      </w:r>
      <w:r w:rsidRPr="00884377">
        <w:t xml:space="preserve">, cast iron floor drain with integral reversible clamp device, caulk device, caulk outlet and </w:t>
      </w:r>
      <w:r w:rsidR="00BD6EEC">
        <w:t xml:space="preserve">6” </w:t>
      </w:r>
      <w:r w:rsidRPr="00884377">
        <w:t xml:space="preserve">round adjustable nickel brass </w:t>
      </w:r>
      <w:r w:rsidR="0069454A" w:rsidRPr="00884377">
        <w:t>strainer</w:t>
      </w:r>
      <w:r w:rsidR="0069454A">
        <w:t>, and</w:t>
      </w:r>
      <w:r w:rsidR="00BD6EEC">
        <w:t xml:space="preserve"> ½” plugged trap primer tap.</w:t>
      </w:r>
    </w:p>
    <w:p w:rsidR="00884377" w:rsidRDefault="00884377" w:rsidP="00266606">
      <w:pPr>
        <w:pStyle w:val="PR1"/>
      </w:pPr>
      <w:r w:rsidRPr="00884377">
        <w:t xml:space="preserve">Floor Drain (FD "B"):  </w:t>
      </w:r>
      <w:r w:rsidR="00BD6EEC">
        <w:t xml:space="preserve">Wade No. 1640-27-39, 9” diameter galvanized cast iron floor </w:t>
      </w:r>
      <w:proofErr w:type="gramStart"/>
      <w:r w:rsidR="00BD6EEC">
        <w:t>drain</w:t>
      </w:r>
      <w:proofErr w:type="gramEnd"/>
      <w:r w:rsidR="00BD6EEC">
        <w:t xml:space="preserve"> with aluminum sediment bucket and ½” plugged trap primer tap.</w:t>
      </w:r>
    </w:p>
    <w:p w:rsidR="00884377" w:rsidRDefault="00884377" w:rsidP="00266606">
      <w:pPr>
        <w:pStyle w:val="PR1"/>
      </w:pPr>
      <w:r w:rsidRPr="00884377">
        <w:t xml:space="preserve">Floor Drain Type C (FD "C"):  </w:t>
      </w:r>
      <w:r w:rsidR="00BD6EEC">
        <w:t>Wade No. 1210-</w:t>
      </w:r>
      <w:r w:rsidR="00A459DC">
        <w:t>27-</w:t>
      </w:r>
      <w:r w:rsidR="00BD6EEC">
        <w:t xml:space="preserve">39, 12” diameter galvanized cast iron medium sump floor </w:t>
      </w:r>
      <w:proofErr w:type="gramStart"/>
      <w:r w:rsidR="00BD6EEC">
        <w:t>drain</w:t>
      </w:r>
      <w:proofErr w:type="gramEnd"/>
      <w:r w:rsidR="00BD6EEC">
        <w:t xml:space="preserve"> with integral flashing collar, galvanized cast iron ½ grate, </w:t>
      </w:r>
      <w:r w:rsidR="00A459DC">
        <w:t>with bottom set sediment b</w:t>
      </w:r>
      <w:r w:rsidR="00BD6EEC">
        <w:t>ucket and ½” plugged trap primer tap.</w:t>
      </w:r>
    </w:p>
    <w:p w:rsidR="00BD6EEC" w:rsidRDefault="00BD6EEC" w:rsidP="00266606">
      <w:pPr>
        <w:pStyle w:val="PR1"/>
      </w:pPr>
      <w:r>
        <w:t>Floor Sink Type A (FS</w:t>
      </w:r>
      <w:proofErr w:type="gramStart"/>
      <w:r>
        <w:t>-“</w:t>
      </w:r>
      <w:proofErr w:type="gramEnd"/>
      <w:r>
        <w:t>A”): Wade No. 9010-1-6-26-27, 8” square floor sink with 6” sump, acid resistant epoxy coated interior, nickel bronze frame and grate, aluminum sediment bucket,  clamping device and ½” plugged trap primer tap,</w:t>
      </w:r>
    </w:p>
    <w:p w:rsidR="00BD6EEC" w:rsidRDefault="00BD6EEC" w:rsidP="00266606">
      <w:pPr>
        <w:pStyle w:val="PR1"/>
      </w:pPr>
      <w:r>
        <w:t>Floor Sink Type B (FS</w:t>
      </w:r>
      <w:proofErr w:type="gramStart"/>
      <w:r>
        <w:t>-“</w:t>
      </w:r>
      <w:proofErr w:type="gramEnd"/>
      <w:r>
        <w:t>B”): Wade No. 91</w:t>
      </w:r>
      <w:r w:rsidR="00A459DC">
        <w:t>3</w:t>
      </w:r>
      <w:r>
        <w:t>0-6-</w:t>
      </w:r>
      <w:r w:rsidR="00A459DC">
        <w:t>16-</w:t>
      </w:r>
      <w:r>
        <w:t>26-27, 12” square floor sink with 6” sump, acid resistant epoxy coated interior, nickel bronze frame and ¾  nickel bronze grate, aluminum sediment bucket and clamping device and ½” plugged trap primer tap.</w:t>
      </w:r>
    </w:p>
    <w:p w:rsidR="00746F60" w:rsidRPr="00BF48EE" w:rsidRDefault="00492DFE" w:rsidP="00B12E4F">
      <w:pPr>
        <w:pStyle w:val="ART"/>
        <w:rPr>
          <w:b/>
        </w:rPr>
      </w:pPr>
      <w:r w:rsidRPr="00BF48EE">
        <w:rPr>
          <w:b/>
        </w:rPr>
        <w:t>HUB DRAINS (H.D.)</w:t>
      </w:r>
      <w:r w:rsidR="00266606" w:rsidRPr="00BF48EE">
        <w:rPr>
          <w:b/>
        </w:rPr>
        <w:t>:</w:t>
      </w:r>
    </w:p>
    <w:p w:rsidR="00746F60" w:rsidRPr="00492DFE" w:rsidRDefault="00492DFE" w:rsidP="00266606">
      <w:pPr>
        <w:pStyle w:val="PR1"/>
      </w:pPr>
      <w:r w:rsidRPr="00492DFE">
        <w:t>Hub drains (H.D.) located at, or near, Owner furnished equipment shall be cast iron soil pipe hubs or hub adaptors set flush with finished floor.  Install in all such hubs or hub adaptors a Wade WL</w:t>
      </w:r>
      <w:r w:rsidRPr="00492DFE">
        <w:noBreakHyphen/>
        <w:t>8450</w:t>
      </w:r>
      <w:r w:rsidRPr="00492DFE">
        <w:noBreakHyphen/>
        <w:t xml:space="preserve">R cast iron cleanout ferrule with slotted head plug and round </w:t>
      </w:r>
      <w:proofErr w:type="gramStart"/>
      <w:r w:rsidRPr="00492DFE">
        <w:t>stainless steel</w:t>
      </w:r>
      <w:proofErr w:type="gramEnd"/>
      <w:r w:rsidRPr="00492DFE">
        <w:t xml:space="preserve"> access cover.  Each hub drain shall be provided with a P</w:t>
      </w:r>
      <w:r w:rsidRPr="00492DFE">
        <w:noBreakHyphen/>
        <w:t>trap.</w:t>
      </w:r>
    </w:p>
    <w:p w:rsidR="00297DA2" w:rsidRPr="00492DFE" w:rsidRDefault="00492DFE" w:rsidP="00266606">
      <w:pPr>
        <w:pStyle w:val="PR1"/>
      </w:pPr>
      <w:r w:rsidRPr="00492DFE">
        <w:lastRenderedPageBreak/>
        <w:t>Hub drains for other services shall be cast iron soil pipe hubs or hub adaptors set with top of hub one</w:t>
      </w:r>
      <w:r w:rsidRPr="00492DFE">
        <w:noBreakHyphen/>
        <w:t>half inch (1/2") above finished floor.  Each hub drain shall be provided with a P</w:t>
      </w:r>
      <w:r w:rsidRPr="00492DFE">
        <w:noBreakHyphen/>
        <w:t xml:space="preserve">trap. </w:t>
      </w:r>
    </w:p>
    <w:p w:rsidR="00746F60" w:rsidRPr="00BF48EE" w:rsidRDefault="009D7C9D" w:rsidP="00B12E4F">
      <w:pPr>
        <w:pStyle w:val="ART"/>
        <w:rPr>
          <w:b/>
        </w:rPr>
      </w:pPr>
      <w:r w:rsidRPr="00BF48EE">
        <w:rPr>
          <w:b/>
        </w:rPr>
        <w:t>CleanoutS</w:t>
      </w:r>
      <w:r w:rsidR="00266606" w:rsidRPr="00BF48EE">
        <w:rPr>
          <w:b/>
        </w:rPr>
        <w:t>:</w:t>
      </w:r>
    </w:p>
    <w:p w:rsidR="00746F60" w:rsidRDefault="00492DFE" w:rsidP="00266606">
      <w:pPr>
        <w:pStyle w:val="PR1"/>
      </w:pPr>
      <w:r w:rsidRPr="00492DFE">
        <w:t>At each change in direction, at the end of each continuous waste line, at the foot of each riser in the building and at 50' intervals in long horizontal runs, of lines of four inch (4") size and smaller, and not more than 95' intervals for larger lines, cleanouts shall be placed in soil and waste lines.  The size of the cleanouts shall be identical with the size of the soil or waste line in which they are placed for four inch (4") and smaller lines.  The size of cleanouts in lines larger than four inches (4") shall be six inches (6") in all cases.  All cleanouts shall be placed to be easily accessible for servicing.  Where they occur in pipe chases, they shall be placed above the floor in such a location so they will be easily accessible through access doors, or they shall be brought through the walls and be provided with covers.  All horizontal soil and waste lines shall have a cleanout placed in the end of the line by the use of a wye and a 1/8 bend, or by a combination tee</w:t>
      </w:r>
      <w:r w:rsidRPr="00492DFE">
        <w:noBreakHyphen/>
        <w:t>wye and made easily accessible by extending the cleanout through the wall and be covered as described above.  The screw plug of all cleanouts shall be of cast brass.</w:t>
      </w:r>
    </w:p>
    <w:p w:rsidR="00535020" w:rsidRDefault="002113A9" w:rsidP="00266606">
      <w:pPr>
        <w:pStyle w:val="PR1"/>
      </w:pPr>
      <w:r w:rsidRPr="002113A9">
        <w:t xml:space="preserve">The bodies of floor cleanouts shall be tapped for iron pipe threads.  The brass tap screws shall have flange caps with raised nuts.  Wherever such cleanouts occur in finished floor slabs or terminate in finished walls, they shall be provided with </w:t>
      </w:r>
      <w:proofErr w:type="spellStart"/>
      <w:r w:rsidRPr="002113A9">
        <w:t>scoriated</w:t>
      </w:r>
      <w:proofErr w:type="spellEnd"/>
      <w:r w:rsidRPr="002113A9">
        <w:t xml:space="preserve"> nickel bronze cleanout covers of such a size as to make the plugs over which they are installed readily accessible.  These cleanouts shall be cast iron floor cleanout with cut</w:t>
      </w:r>
      <w:r w:rsidRPr="002113A9">
        <w:noBreakHyphen/>
        <w:t xml:space="preserve">off ferrule, tapered brass plug with </w:t>
      </w:r>
      <w:proofErr w:type="gramStart"/>
      <w:r w:rsidRPr="002113A9">
        <w:t>eight inch</w:t>
      </w:r>
      <w:proofErr w:type="gramEnd"/>
      <w:r w:rsidRPr="002113A9">
        <w:t xml:space="preserve"> (8") round screwed brass access cover with three</w:t>
      </w:r>
      <w:r w:rsidRPr="002113A9">
        <w:noBreakHyphen/>
        <w:t>eighths inches (3/8") diameter Allen Head Screw.</w:t>
      </w:r>
    </w:p>
    <w:p w:rsidR="006E53F9" w:rsidRDefault="006E53F9" w:rsidP="00266606">
      <w:pPr>
        <w:pStyle w:val="PR1"/>
      </w:pPr>
      <w:r>
        <w:t xml:space="preserve">All cleanouts shall </w:t>
      </w:r>
      <w:r w:rsidR="00E7074B">
        <w:t>be manufactures by Wade, Zurn,</w:t>
      </w:r>
      <w:r>
        <w:t xml:space="preserve"> J.R. Smith</w:t>
      </w:r>
      <w:r w:rsidR="000C5676">
        <w:t>, Mi-Fab</w:t>
      </w:r>
      <w:r w:rsidR="00E7074B">
        <w:t xml:space="preserve"> or Josam</w:t>
      </w:r>
      <w:r>
        <w:t xml:space="preserve">.  The specified manufactures and model number is the basis of design and the other listed manufacturers may be used, but must be equivalent to specification. </w:t>
      </w:r>
    </w:p>
    <w:p w:rsidR="002113A9" w:rsidRDefault="002113A9" w:rsidP="00266606">
      <w:pPr>
        <w:pStyle w:val="PR1"/>
      </w:pPr>
      <w:r w:rsidRPr="002113A9">
        <w:t xml:space="preserve">Finished Floors and Concrete Floors, Round Top. Primer coated cast iron floor cleanout with SV hub outlet, taper thread bronze plug, threaded adjustable housing and ferrule, membrane flange, secured/vandal proof, round-heavy duty </w:t>
      </w:r>
      <w:proofErr w:type="gramStart"/>
      <w:r w:rsidRPr="002113A9">
        <w:t>satin  finished</w:t>
      </w:r>
      <w:proofErr w:type="gramEnd"/>
      <w:r w:rsidRPr="002113A9">
        <w:t xml:space="preserve"> nickel bronze </w:t>
      </w:r>
      <w:proofErr w:type="spellStart"/>
      <w:r w:rsidRPr="002113A9">
        <w:t>scoriated</w:t>
      </w:r>
      <w:proofErr w:type="spellEnd"/>
      <w:r w:rsidRPr="002113A9">
        <w:t xml:space="preserve"> top that adjusts to finished floor after concrete has set. For cleanouts located under carpet floors provide an integral carpet marker to indicate location after floor carpeting is installed. Reference Architectural drawings for areas with carpet floors. Wade </w:t>
      </w:r>
      <w:r w:rsidR="00A459DC">
        <w:t>No. 6000-Z-1-75</w:t>
      </w:r>
      <w:r w:rsidRPr="002113A9">
        <w:t>-Threaded/Machined for Clamp Device (-</w:t>
      </w:r>
      <w:r w:rsidR="00A459DC">
        <w:t>CM</w:t>
      </w:r>
      <w:r w:rsidRPr="002113A9">
        <w:t>, where applicable</w:t>
      </w:r>
      <w:r w:rsidR="000C5676">
        <w:t xml:space="preserve">, or approved equal as manufactured by Zurn, J.R. Smith, Mi-Fab or Josam. </w:t>
      </w:r>
      <w:r w:rsidRPr="002113A9">
        <w:t xml:space="preserve"> Set top of floor cleanouts such that top is flush with finished floor.</w:t>
      </w:r>
    </w:p>
    <w:p w:rsidR="002113A9" w:rsidRDefault="002113A9" w:rsidP="00266606">
      <w:pPr>
        <w:pStyle w:val="PR1"/>
      </w:pPr>
      <w:r w:rsidRPr="002113A9">
        <w:t xml:space="preserve">Outside Areas, Round Top. Primer coated cast iron, extra heavy traffic duty floor cleanout with taper thread bronze plug, threaded adjustable housing with flanged ferrule, secured/vandal proof, round, extra heavy duty, gasketed satin finished nickel bronze </w:t>
      </w:r>
      <w:proofErr w:type="spellStart"/>
      <w:r w:rsidRPr="002113A9">
        <w:t>scoriated</w:t>
      </w:r>
      <w:proofErr w:type="spellEnd"/>
      <w:r w:rsidRPr="002113A9">
        <w:t xml:space="preserve"> top that adjusts to finished grade in field after installation. Cast cleanouts flush in a 16" by 16" by 6" thick concrete pad. Concrete pad and cleanout shall be installed such that the top of pad and cleanout top are both set with top flush with finished grade. Wade </w:t>
      </w:r>
      <w:r w:rsidR="006C5279">
        <w:t>No. 6000-Z-1-75</w:t>
      </w:r>
      <w:r w:rsidRPr="002113A9">
        <w:t>5</w:t>
      </w:r>
      <w:r w:rsidR="000C5676" w:rsidRPr="000C5676">
        <w:t xml:space="preserve"> </w:t>
      </w:r>
      <w:r w:rsidR="000C5676">
        <w:t>or approved equal as manufactured by Zurn, J.R. Smith, Mi-Fab or Josam.</w:t>
      </w:r>
      <w:r w:rsidRPr="002113A9">
        <w:t xml:space="preserve"> Set top of exterior floor cleanouts such that top is flush with finished grade</w:t>
      </w:r>
      <w:r>
        <w:t>.</w:t>
      </w:r>
    </w:p>
    <w:p w:rsidR="002113A9" w:rsidRDefault="002113A9" w:rsidP="00266606">
      <w:pPr>
        <w:pStyle w:val="PR1"/>
      </w:pPr>
      <w:r w:rsidRPr="002113A9">
        <w:t xml:space="preserve">Finished Walls.  Primer coated cast iron cleanout tee with countersunk head, taper treaded bronze plug, No-Hub connections and 6-inch diameter-smooth-stainless steel secured access cover with secured/vandal proof screw. </w:t>
      </w:r>
      <w:r w:rsidR="000C5676">
        <w:t xml:space="preserve"> M</w:t>
      </w:r>
      <w:r w:rsidR="00BA0DCC">
        <w:t xml:space="preserve">anufactured by, </w:t>
      </w:r>
      <w:r w:rsidRPr="002113A9">
        <w:t>Wade W-8460</w:t>
      </w:r>
      <w:r w:rsidR="000C5676">
        <w:t>, or</w:t>
      </w:r>
      <w:r w:rsidR="000C5676" w:rsidRPr="000C5676">
        <w:t xml:space="preserve"> </w:t>
      </w:r>
      <w:r w:rsidR="000C5676">
        <w:t>approved equal as manufactured by Zurn, J.R. Smith, Mi-Fab or Josam.</w:t>
      </w:r>
    </w:p>
    <w:p w:rsidR="002113A9" w:rsidRDefault="002113A9" w:rsidP="00266606">
      <w:pPr>
        <w:pStyle w:val="PR1"/>
      </w:pPr>
      <w:r w:rsidRPr="002113A9">
        <w:t>Unfinished Areas.  Primer coated cast iron cleanout tee with countersunk head, taper thread bronze plug and No-H</w:t>
      </w:r>
      <w:r w:rsidR="00E7074B">
        <w:t>ub connections. Wade W-8560-MODIF</w:t>
      </w:r>
      <w:r w:rsidRPr="002113A9">
        <w:t xml:space="preserve">IED </w:t>
      </w:r>
      <w:r w:rsidR="000C5676">
        <w:t>for No-Hub connections-D. approved equal as manufactured by Zurn, J.R. Smith, Mi-Fab or Josam.</w:t>
      </w:r>
    </w:p>
    <w:p w:rsidR="005C7A84" w:rsidRDefault="005C7A84" w:rsidP="00266606">
      <w:pPr>
        <w:pStyle w:val="PR1"/>
      </w:pPr>
      <w:r w:rsidRPr="005C7A84">
        <w:lastRenderedPageBreak/>
        <w:t xml:space="preserve">Lab Waste Floor Cleanouts, Finished Floors, Outside Graded Areas and Exterior Cleanouts.  </w:t>
      </w:r>
      <w:proofErr w:type="gramStart"/>
      <w:r w:rsidRPr="005C7A84">
        <w:t>10 inch</w:t>
      </w:r>
      <w:proofErr w:type="gramEnd"/>
      <w:r w:rsidRPr="005C7A84">
        <w:t xml:space="preserve"> diameter, secured/vandal proof, round, heavy duty, satin finished nickel bronze </w:t>
      </w:r>
      <w:proofErr w:type="spellStart"/>
      <w:r w:rsidRPr="005C7A84">
        <w:t>scoriated</w:t>
      </w:r>
      <w:proofErr w:type="spellEnd"/>
      <w:r w:rsidRPr="005C7A84">
        <w:t xml:space="preserve"> top type cleanout access frame and cover. </w:t>
      </w:r>
      <w:r w:rsidR="009D3C07">
        <w:t xml:space="preserve">Manufactured by </w:t>
      </w:r>
      <w:r w:rsidRPr="005C7A84">
        <w:t>Wade W-8300-C10-5</w:t>
      </w:r>
      <w:r w:rsidR="000C5676">
        <w:t>, approved equal as manufactured by Zurn, J.R. Smith, Mi-Fab or Josam.</w:t>
      </w:r>
      <w:r w:rsidRPr="005C7A84">
        <w:t xml:space="preserve"> 11-inch diameter cover-VP. Set top of floor cover such that top is flush with finished floor (including tile). Installation shall be exact, top of cleanout cover shall be set to the exact finished floor level, </w:t>
      </w:r>
      <w:proofErr w:type="gramStart"/>
      <w:r w:rsidRPr="005C7A84">
        <w:t>No</w:t>
      </w:r>
      <w:proofErr w:type="gramEnd"/>
      <w:r w:rsidRPr="005C7A84">
        <w:t xml:space="preserve"> tolerance will be allowed on this item. Extend lab waste cleanout to bottom of cleanout top, caulk annular space between cleanout and concrete floor watertight with sleeve, insulation, tape and </w:t>
      </w:r>
      <w:proofErr w:type="spellStart"/>
      <w:r w:rsidRPr="005C7A84">
        <w:t>Linkseal</w:t>
      </w:r>
      <w:proofErr w:type="spellEnd"/>
      <w:r w:rsidRPr="005C7A84">
        <w:t xml:space="preserve"> per Section 22 66 00.  Secure cover to concrete floor with expansion bolts and - top flush with finished floor. Cleanout shall be same material as piping.</w:t>
      </w:r>
    </w:p>
    <w:p w:rsidR="005C7A84" w:rsidRPr="005C7A84" w:rsidRDefault="005C7A84" w:rsidP="00266606">
      <w:pPr>
        <w:pStyle w:val="PR1"/>
      </w:pPr>
      <w:r w:rsidRPr="005C7A84">
        <w:t xml:space="preserve">Lab Waste Wall Cleanouts, Finished Walls.  8-inch square, secured/vandal proof, satin finished nickel bronze </w:t>
      </w:r>
      <w:proofErr w:type="spellStart"/>
      <w:r w:rsidRPr="005C7A84">
        <w:t>scoria</w:t>
      </w:r>
      <w:r w:rsidR="00E7074B">
        <w:t>t</w:t>
      </w:r>
      <w:r w:rsidRPr="005C7A84">
        <w:t>ed</w:t>
      </w:r>
      <w:proofErr w:type="spellEnd"/>
      <w:r w:rsidRPr="005C7A84">
        <w:t xml:space="preserve"> face-of-wall cover type access frame and cover. </w:t>
      </w:r>
      <w:r w:rsidR="009D3C07">
        <w:t xml:space="preserve">Manufactured by </w:t>
      </w:r>
      <w:r w:rsidR="000C5676">
        <w:t>Wade W-8480-ST8,</w:t>
      </w:r>
      <w:r w:rsidR="000C5676" w:rsidRPr="000C5676">
        <w:t xml:space="preserve"> </w:t>
      </w:r>
      <w:r w:rsidR="000C5676">
        <w:t>approved equal as manufactured by Zurn, J.R. Smith, Mi-Fab or Josam</w:t>
      </w:r>
      <w:r w:rsidRPr="005C7A84">
        <w:t>. Set on wall such that cover is flush with finished wall. Extend lab waste cleanout to within 3-inches (in depth) from access door and center in respect to access door opening for easy access. Installation shall be exact, cleanout cover shall be set exact, and no tolerance will be allowed on this item.  Adequately secure frame and cover to wall studs or CMU block. Provide additional blocking in wall to ensure a rigid and permanent installation Cleanout shall be same material as piping</w:t>
      </w:r>
      <w:r>
        <w:t>.</w:t>
      </w:r>
    </w:p>
    <w:p w:rsidR="00746F60" w:rsidRDefault="005C7A84" w:rsidP="00B12E4F">
      <w:pPr>
        <w:pStyle w:val="ART"/>
      </w:pPr>
      <w:r w:rsidRPr="00BF48EE">
        <w:rPr>
          <w:b/>
        </w:rPr>
        <w:t>STRAINERS</w:t>
      </w:r>
      <w:r w:rsidR="00266606">
        <w:t>:</w:t>
      </w:r>
    </w:p>
    <w:p w:rsidR="005D6ACA" w:rsidRDefault="005C7A84" w:rsidP="00266606">
      <w:pPr>
        <w:pStyle w:val="PR1"/>
      </w:pPr>
      <w:r w:rsidRPr="005C7A84">
        <w:t xml:space="preserve">Strainers 2" and smaller, </w:t>
      </w:r>
      <w:r>
        <w:t xml:space="preserve">Class 125 ASTM B62 </w:t>
      </w:r>
      <w:r w:rsidRPr="005C7A84">
        <w:t xml:space="preserve">bronze body, screwed ends, No. </w:t>
      </w:r>
      <w:r>
        <w:t>20</w:t>
      </w:r>
      <w:r w:rsidRPr="005C7A84">
        <w:t>mesh strainer, screwed cap with bronze blow</w:t>
      </w:r>
      <w:r w:rsidRPr="005C7A84">
        <w:noBreakHyphen/>
        <w:t>off valve (size to be determined by standard tap size in cap)</w:t>
      </w:r>
      <w:r w:rsidR="009D7C9D">
        <w:t xml:space="preserve">, rated for 200 psi working pressure, manufactured by </w:t>
      </w:r>
      <w:proofErr w:type="spellStart"/>
      <w:r w:rsidR="009D7C9D">
        <w:t>Nibco</w:t>
      </w:r>
      <w:proofErr w:type="spellEnd"/>
      <w:r w:rsidR="009D7C9D">
        <w:t xml:space="preserve"> No. T-221-B, or approved equal</w:t>
      </w:r>
      <w:r w:rsidR="00E7074B">
        <w:t xml:space="preserve">. </w:t>
      </w:r>
      <w:proofErr w:type="gramStart"/>
      <w:r w:rsidR="009D7C9D">
        <w:t xml:space="preserve">Strainers </w:t>
      </w:r>
      <w:r w:rsidR="00E7074B">
        <w:t xml:space="preserve"> </w:t>
      </w:r>
      <w:r w:rsidRPr="005C7A84">
        <w:t>2</w:t>
      </w:r>
      <w:proofErr w:type="gramEnd"/>
      <w:r w:rsidRPr="005C7A84">
        <w:t xml:space="preserve"> 1/2" and larger, </w:t>
      </w:r>
      <w:r w:rsidR="009D7C9D">
        <w:t xml:space="preserve">ASTM A126-B cast iron body, class 125, rated for 200 psi working pressure, </w:t>
      </w:r>
      <w:r w:rsidRPr="005C7A84">
        <w:t xml:space="preserve">isolating type flanged ends where installed in copper lines, No. 7 perforated </w:t>
      </w:r>
      <w:proofErr w:type="spellStart"/>
      <w:r w:rsidRPr="005C7A84">
        <w:t>monel</w:t>
      </w:r>
      <w:proofErr w:type="spellEnd"/>
      <w:r w:rsidRPr="005C7A84">
        <w:t xml:space="preserve"> strainer, flanged cap with bronze ball blow</w:t>
      </w:r>
      <w:r w:rsidRPr="005C7A84">
        <w:noBreakHyphen/>
        <w:t>off valve (size of blow</w:t>
      </w:r>
      <w:r w:rsidRPr="005C7A84">
        <w:noBreakHyphen/>
        <w:t>off valve shall be determined by standard tap size in cap).  Special Note:  All strainers 6" and larger shall have studs mounted in the body flange in lieu of bolts for removal of cap.  Baskets for strainers 6" and larger shall have stainless steel reinforcing bands at ends to prevent collapsing.</w:t>
      </w:r>
      <w:r w:rsidR="009D7C9D">
        <w:t xml:space="preserve"> Cast iron strainers shall have FDA approved internal lining for domestic water service, manufactured by </w:t>
      </w:r>
      <w:proofErr w:type="spellStart"/>
      <w:r w:rsidR="009D7C9D">
        <w:t>Nibco</w:t>
      </w:r>
      <w:proofErr w:type="spellEnd"/>
      <w:r w:rsidR="009D7C9D">
        <w:t xml:space="preserve"> No. F-721-A, </w:t>
      </w:r>
      <w:r w:rsidR="009D3C07">
        <w:t>or manufactured with equivalent model</w:t>
      </w:r>
      <w:r w:rsidR="009D7C9D">
        <w:t>.</w:t>
      </w:r>
    </w:p>
    <w:p w:rsidR="009D7C9D" w:rsidRPr="00BF48EE" w:rsidRDefault="009D7C9D" w:rsidP="009166B3">
      <w:pPr>
        <w:pStyle w:val="ART"/>
        <w:rPr>
          <w:b/>
        </w:rPr>
      </w:pPr>
      <w:r w:rsidRPr="00BF48EE">
        <w:rPr>
          <w:b/>
        </w:rPr>
        <w:t>BACKFLOW PREVENTERS AND VACUUM BREAKERS</w:t>
      </w:r>
      <w:r w:rsidR="00266606" w:rsidRPr="00BF48EE">
        <w:rPr>
          <w:b/>
        </w:rPr>
        <w:t>:</w:t>
      </w:r>
      <w:r w:rsidRPr="00BF48EE">
        <w:rPr>
          <w:b/>
        </w:rPr>
        <w:t xml:space="preserve"> </w:t>
      </w:r>
    </w:p>
    <w:p w:rsidR="009D7C9D" w:rsidRDefault="00251550" w:rsidP="00266606">
      <w:pPr>
        <w:pStyle w:val="PR1"/>
      </w:pPr>
      <w:r w:rsidRPr="0061452D">
        <w:t xml:space="preserve">Atmospheric Vacuum Breakers:  Full line size, manufactured of brass or bronze with full size orifice, dry guide out of the liquid pressure area and disc float closing vent with minimum flow.  Manufactured by Watts Regulator, No. 188A Series, or </w:t>
      </w:r>
      <w:r w:rsidR="009D3C07">
        <w:t>equivalent model</w:t>
      </w:r>
      <w:r w:rsidRPr="0061452D">
        <w:t xml:space="preserve"> by Wilk</w:t>
      </w:r>
      <w:r w:rsidR="00E7074B">
        <w:t>i</w:t>
      </w:r>
      <w:r w:rsidRPr="0061452D">
        <w:t xml:space="preserve">ns or </w:t>
      </w:r>
      <w:proofErr w:type="spellStart"/>
      <w:r>
        <w:t>Conbraco</w:t>
      </w:r>
      <w:proofErr w:type="spellEnd"/>
      <w:r>
        <w:t xml:space="preserve"> (Apollo).</w:t>
      </w:r>
    </w:p>
    <w:p w:rsidR="00251550" w:rsidRDefault="00251550" w:rsidP="00266606">
      <w:pPr>
        <w:pStyle w:val="PR1"/>
      </w:pPr>
      <w:r w:rsidRPr="0061452D">
        <w:t xml:space="preserve">Pressure Type Vacuum Breaker: Full line size, with full size orifices, manufactured of brass or bronze with double </w:t>
      </w:r>
      <w:r w:rsidR="0069454A" w:rsidRPr="0061452D">
        <w:t>poppet</w:t>
      </w:r>
      <w:r w:rsidRPr="0061452D">
        <w:t xml:space="preserve"> (check valve) stainless steel screen and vent.  Manufactured by Watts Regulator, No. 90, or </w:t>
      </w:r>
      <w:r w:rsidR="009D3C07">
        <w:t>equivalent model</w:t>
      </w:r>
      <w:r w:rsidRPr="0061452D">
        <w:t xml:space="preserve"> by Wilk</w:t>
      </w:r>
      <w:r w:rsidR="00E7074B">
        <w:t>i</w:t>
      </w:r>
      <w:r w:rsidRPr="0061452D">
        <w:t xml:space="preserve">ns or </w:t>
      </w:r>
      <w:proofErr w:type="spellStart"/>
      <w:r>
        <w:t>Conbraco</w:t>
      </w:r>
      <w:proofErr w:type="spellEnd"/>
      <w:r>
        <w:t xml:space="preserve"> (Apollo).</w:t>
      </w:r>
    </w:p>
    <w:p w:rsidR="00251550" w:rsidRDefault="00251550" w:rsidP="00266606">
      <w:pPr>
        <w:pStyle w:val="PR1"/>
      </w:pPr>
      <w:r w:rsidRPr="0061452D">
        <w:t>Reduced Pressure Backflow Preventer</w:t>
      </w:r>
      <w:r>
        <w:t xml:space="preserve"> (RPZ)</w:t>
      </w:r>
      <w:r w:rsidRPr="0061452D">
        <w:t>: Size as indicated on Drawings, bronze</w:t>
      </w:r>
      <w:r>
        <w:t xml:space="preserve"> construction</w:t>
      </w:r>
      <w:r w:rsidRPr="0061452D">
        <w:t>, rated for 175 psi, and shall include strainer, gate or ball valves based on size, pressure differential relief valve, check valves, test cocks, and relief vent and funnel drain</w:t>
      </w:r>
      <w:r>
        <w:t xml:space="preserve">. </w:t>
      </w:r>
      <w:r w:rsidRPr="003B117B">
        <w:t>Unit shall meet the requirements of ASSE 1013, and AWWA, University of Southern California tested and approved</w:t>
      </w:r>
      <w:r>
        <w:t>.</w:t>
      </w:r>
      <w:r w:rsidRPr="00251550">
        <w:t xml:space="preserve"> </w:t>
      </w:r>
      <w:r w:rsidRPr="003B117B">
        <w:t xml:space="preserve">Manufactured by Watts Regulator No. 909, </w:t>
      </w:r>
      <w:r w:rsidR="000C5676">
        <w:t xml:space="preserve">or by </w:t>
      </w:r>
      <w:r w:rsidRPr="003B117B">
        <w:t>Wilk</w:t>
      </w:r>
      <w:r w:rsidR="00E7074B">
        <w:t>i</w:t>
      </w:r>
      <w:r w:rsidRPr="003B117B">
        <w:t>ns or</w:t>
      </w:r>
      <w:r>
        <w:t xml:space="preserve"> </w:t>
      </w:r>
      <w:proofErr w:type="spellStart"/>
      <w:r>
        <w:t>Conbraco</w:t>
      </w:r>
      <w:proofErr w:type="spellEnd"/>
      <w:r>
        <w:t xml:space="preserve"> (Apollo).</w:t>
      </w:r>
    </w:p>
    <w:p w:rsidR="00251550" w:rsidRDefault="00251550" w:rsidP="00266606">
      <w:pPr>
        <w:pStyle w:val="PR1"/>
      </w:pPr>
      <w:r w:rsidRPr="0061452D">
        <w:t>Vacuum Relief Valve:3/</w:t>
      </w:r>
      <w:proofErr w:type="gramStart"/>
      <w:r w:rsidRPr="0061452D">
        <w:t>4 inch</w:t>
      </w:r>
      <w:proofErr w:type="gramEnd"/>
      <w:r w:rsidRPr="0061452D">
        <w:t xml:space="preserve"> bronze with high temperature resisting disc, and disc guide located out of water</w:t>
      </w:r>
      <w:r>
        <w:t xml:space="preserve">. </w:t>
      </w:r>
      <w:r w:rsidRPr="003B117B">
        <w:t>Tested up to 200 psi and 250°F and shall be open on a vacuum of not more than 1/2 inch of mercury</w:t>
      </w:r>
      <w:r>
        <w:t xml:space="preserve">. </w:t>
      </w:r>
      <w:r w:rsidRPr="003B117B">
        <w:t xml:space="preserve">Manufactured by Watts Regulator No. N36g, or </w:t>
      </w:r>
      <w:r w:rsidR="000C5676">
        <w:t xml:space="preserve">by </w:t>
      </w:r>
      <w:r w:rsidRPr="003B117B">
        <w:t>Wilk</w:t>
      </w:r>
      <w:r w:rsidR="00E7074B">
        <w:t>i</w:t>
      </w:r>
      <w:r w:rsidRPr="003B117B">
        <w:t>ns or</w:t>
      </w:r>
      <w:r>
        <w:t xml:space="preserve"> </w:t>
      </w:r>
      <w:proofErr w:type="spellStart"/>
      <w:r>
        <w:t>Conbraco</w:t>
      </w:r>
      <w:proofErr w:type="spellEnd"/>
      <w:r>
        <w:t xml:space="preserve"> (Apollo).</w:t>
      </w:r>
    </w:p>
    <w:p w:rsidR="0048078E" w:rsidRDefault="0048078E" w:rsidP="00266606">
      <w:pPr>
        <w:pStyle w:val="PR1"/>
      </w:pPr>
      <w:r w:rsidRPr="0061452D">
        <w:t xml:space="preserve">High hazard, anti-siphon, anti-spill, vacuum breaker designed for indoor applications, featuring bronze body, one-piece modular check valve and float assembly, stainless steel springs, bronze quarter turn ball valves at inlet and discharge, University of Southern California tested and approved. Manufactured by Watts No. 008QT, </w:t>
      </w:r>
      <w:r w:rsidR="000C5676">
        <w:t xml:space="preserve">or </w:t>
      </w:r>
      <w:r w:rsidRPr="0061452D">
        <w:t>by Wilk</w:t>
      </w:r>
      <w:r w:rsidR="00E7074B">
        <w:t>i</w:t>
      </w:r>
      <w:r w:rsidRPr="0061452D">
        <w:t>ns or</w:t>
      </w:r>
      <w:r>
        <w:t xml:space="preserve"> </w:t>
      </w:r>
      <w:proofErr w:type="spellStart"/>
      <w:r>
        <w:t>Conbraco</w:t>
      </w:r>
      <w:proofErr w:type="spellEnd"/>
      <w:r>
        <w:t xml:space="preserve"> (Apollo).</w:t>
      </w:r>
    </w:p>
    <w:p w:rsidR="009D3C07" w:rsidRDefault="009D3C07" w:rsidP="00266606">
      <w:pPr>
        <w:pStyle w:val="PR1"/>
      </w:pPr>
      <w:r>
        <w:lastRenderedPageBreak/>
        <w:t xml:space="preserve">Double Check Valve </w:t>
      </w:r>
      <w:r w:rsidR="00DD5271">
        <w:t>A</w:t>
      </w:r>
      <w:r>
        <w:t xml:space="preserve">ssembly: For sizes up to 2 inches provide lead free cast copper silicon alloy body with threaded end connections, with replaceable seats and seat discs, top mounted ball valve test cocks.  Unit shall meet the requirements of ASSE 1015, AWWA c510, University of Southern California testes and approved, manufactured by Watts model (FOD) or equivalent model by Wilkens or </w:t>
      </w:r>
      <w:proofErr w:type="spellStart"/>
      <w:r>
        <w:t>Combraco</w:t>
      </w:r>
      <w:proofErr w:type="spellEnd"/>
      <w:r>
        <w:t xml:space="preserve"> (Apollo).</w:t>
      </w:r>
      <w:r w:rsidR="00F91848">
        <w:t xml:space="preserve">  For sizes over 2 inches provide lead free unit with epoxy coated cast iron body with stainless steel seats, flanged and connections, complete with gate valves on inset and discharge.  Unit shall meet the requirements of ASSE 1015, AWWA C510-92, CSA B 64.5 and University of Southern California tested and approved, manufactured by Watts Model LF 709 or by Wilk</w:t>
      </w:r>
      <w:r w:rsidR="00E7074B">
        <w:t>i</w:t>
      </w:r>
      <w:r w:rsidR="00F91848">
        <w:t xml:space="preserve">ns or </w:t>
      </w:r>
      <w:proofErr w:type="spellStart"/>
      <w:r w:rsidR="00F91848">
        <w:t>Conbraco</w:t>
      </w:r>
      <w:proofErr w:type="spellEnd"/>
      <w:r w:rsidR="00F91848">
        <w:t xml:space="preserve"> (Apollo).</w:t>
      </w:r>
    </w:p>
    <w:p w:rsidR="00D81FF2" w:rsidRPr="00BF48EE" w:rsidRDefault="00266606" w:rsidP="00B12E4F">
      <w:pPr>
        <w:pStyle w:val="ART"/>
        <w:rPr>
          <w:b/>
        </w:rPr>
      </w:pPr>
      <w:r w:rsidRPr="00BF48EE">
        <w:rPr>
          <w:b/>
        </w:rPr>
        <w:t>VALVE BOXES:</w:t>
      </w:r>
    </w:p>
    <w:p w:rsidR="00D81FF2" w:rsidRDefault="00266606" w:rsidP="00266606">
      <w:pPr>
        <w:pStyle w:val="PR1"/>
      </w:pPr>
      <w:r w:rsidRPr="00266606">
        <w:t>For each underground valve installed by the Contractor, the Contractor shall provide and install a two</w:t>
      </w:r>
      <w:r w:rsidRPr="00266606">
        <w:noBreakHyphen/>
        <w:t>piece, screw adjustable type valve box.  These valve boxes shall be designed for heavy roadway service and they shall have a deep socket type of cover which prevents their being accidentally knocked out of position.</w:t>
      </w:r>
    </w:p>
    <w:p w:rsidR="00266606" w:rsidRDefault="00266606" w:rsidP="00BF48EE">
      <w:pPr>
        <w:pStyle w:val="PR1"/>
      </w:pPr>
      <w:r w:rsidRPr="00266606">
        <w:t>The word "</w:t>
      </w:r>
      <w:r w:rsidRPr="0059426C">
        <w:t>WATER</w:t>
      </w:r>
      <w:r w:rsidRPr="00266606">
        <w:t>" shall appear on each cover.  The installation of these members shall be such that by the use of the adjustable screw type bodies the tops are just flush with the finished grade.  These valve boxes shall be Tyler Pipe Industries #6850, or approved equal</w:t>
      </w:r>
      <w:r>
        <w:t>.</w:t>
      </w:r>
    </w:p>
    <w:p w:rsidR="00A83597" w:rsidRPr="00BF48EE" w:rsidRDefault="00A83597" w:rsidP="00A83597">
      <w:pPr>
        <w:pStyle w:val="ART"/>
        <w:rPr>
          <w:b/>
        </w:rPr>
      </w:pPr>
      <w:r w:rsidRPr="00BF48EE">
        <w:rPr>
          <w:b/>
        </w:rPr>
        <w:t>TRAP PRIMERS:</w:t>
      </w:r>
    </w:p>
    <w:p w:rsidR="00A83597" w:rsidRDefault="002E2A9D" w:rsidP="002E2A9D">
      <w:pPr>
        <w:pStyle w:val="PR1"/>
      </w:pPr>
      <w:r>
        <w:t xml:space="preserve">Electronic Type: Electronic trap priming manifo9ld, surface mounted, complete with resettable timer, factory assembled, pre-piped bronze body, 1/2” inlet and water connection, solenoid valve, </w:t>
      </w:r>
      <w:proofErr w:type="gramStart"/>
      <w:r>
        <w:t>Type</w:t>
      </w:r>
      <w:r w:rsidR="00326848">
        <w:t xml:space="preserve"> </w:t>
      </w:r>
      <w:r>
        <w:t>”L</w:t>
      </w:r>
      <w:proofErr w:type="gramEnd"/>
      <w:r>
        <w:t xml:space="preserve">” copper manifold with brass ½” compression fittings with single point 120 volt electrical connection with manual override switch, 16 gauge steel enclosure with door and integral atmospheric vacuum breaker, with mounting anchors, manufactured by </w:t>
      </w:r>
      <w:r w:rsidR="00223408">
        <w:t>PPP Inc., “Prime Time” or approved equal.</w:t>
      </w:r>
    </w:p>
    <w:p w:rsidR="00223408" w:rsidRPr="00BF48EE" w:rsidRDefault="00FC49A9" w:rsidP="00223408">
      <w:pPr>
        <w:pStyle w:val="ART"/>
        <w:rPr>
          <w:b/>
        </w:rPr>
      </w:pPr>
      <w:r w:rsidRPr="00BF48EE">
        <w:rPr>
          <w:b/>
        </w:rPr>
        <w:t>EXPANSION TANKS</w:t>
      </w:r>
      <w:r w:rsidR="00223408" w:rsidRPr="00BF48EE">
        <w:rPr>
          <w:b/>
        </w:rPr>
        <w:t>:</w:t>
      </w:r>
    </w:p>
    <w:p w:rsidR="00223408" w:rsidRDefault="00FC49A9" w:rsidP="00223408">
      <w:pPr>
        <w:pStyle w:val="PR1"/>
      </w:pPr>
      <w:r>
        <w:t xml:space="preserve">ASME coded pre-charged </w:t>
      </w:r>
      <w:r w:rsidR="0069454A">
        <w:t>hydro pneumatic</w:t>
      </w:r>
      <w:r>
        <w:t xml:space="preserve"> steel expansion tank, constructed with a maximum working pressure of 150 </w:t>
      </w:r>
      <w:proofErr w:type="spellStart"/>
      <w:r>
        <w:t>psig</w:t>
      </w:r>
      <w:proofErr w:type="spellEnd"/>
      <w:r>
        <w:t xml:space="preserve">. Internal wetted parts shall be compliant with FDA regulations and approvals. Internal butyl diaphragm isolating water from air, __ gallon tank volume, __” diameter, __” height, __” NPT pipe connection, manufactured by </w:t>
      </w:r>
      <w:proofErr w:type="spellStart"/>
      <w:r>
        <w:t>Amtrol</w:t>
      </w:r>
      <w:proofErr w:type="spellEnd"/>
      <w:r>
        <w:t xml:space="preserve"> “</w:t>
      </w:r>
      <w:proofErr w:type="spellStart"/>
      <w:r>
        <w:t>Therm</w:t>
      </w:r>
      <w:proofErr w:type="spellEnd"/>
      <w:r>
        <w:t>-X-</w:t>
      </w:r>
      <w:proofErr w:type="spellStart"/>
      <w:r>
        <w:t>Trol</w:t>
      </w:r>
      <w:proofErr w:type="spellEnd"/>
      <w:r>
        <w:t>” Model No. ____, or by Watts or Taco.</w:t>
      </w:r>
    </w:p>
    <w:p w:rsidR="008E6A03" w:rsidRPr="00BF48EE" w:rsidRDefault="008E6A03" w:rsidP="008E6A03">
      <w:pPr>
        <w:pStyle w:val="ART"/>
        <w:rPr>
          <w:b/>
        </w:rPr>
      </w:pPr>
      <w:r w:rsidRPr="00BF48EE">
        <w:rPr>
          <w:b/>
        </w:rPr>
        <w:t>WATER HAMMER ARRESTORS:</w:t>
      </w:r>
    </w:p>
    <w:p w:rsidR="008E6A03" w:rsidRDefault="008E6A03" w:rsidP="008E6A03">
      <w:pPr>
        <w:pStyle w:val="PR1"/>
      </w:pPr>
      <w:r>
        <w:t>Provide hydraulic shock water hammer arrestors in domestic cold water and domestic hot water lines to each individual plumbing fixture or battery of fixtures, and at each automatic solenoid operated or quick closing valve serving equipment. Shock water hammer arrestors shall be of seamless type “K” copper body construction or type 304 stainless steel body with stainless steel bellows, nitrogen and helium gas pre-charged. Shock arrestors shall be certified to ASSE 1010-2004 Standard and listed with IAPMO, completely sealed and operating free of casing. Size all units according to water hammer arrestors standard PDI-WH-201. The shock arrestors shall have a life time warranty and shall be designed to provide continuous protection with</w:t>
      </w:r>
      <w:r w:rsidR="0099476A">
        <w:t>out</w:t>
      </w:r>
      <w:r>
        <w:t xml:space="preserve"> maintenance allowing the shock arrestor to be installed without an access panel. Manufactured by Siou</w:t>
      </w:r>
      <w:r w:rsidR="0099476A">
        <w:t>x</w:t>
      </w:r>
      <w:r>
        <w:t xml:space="preserve"> Chief “Hydra-</w:t>
      </w:r>
      <w:proofErr w:type="spellStart"/>
      <w:r>
        <w:t>Rest</w:t>
      </w:r>
      <w:r w:rsidR="00326848">
        <w:t>er</w:t>
      </w:r>
      <w:proofErr w:type="spellEnd"/>
      <w:r w:rsidR="00326848">
        <w:t>”</w:t>
      </w:r>
      <w:r w:rsidR="00DD5271">
        <w:t xml:space="preserve">, Wade </w:t>
      </w:r>
      <w:r w:rsidR="0099476A">
        <w:t xml:space="preserve">or </w:t>
      </w:r>
      <w:r>
        <w:t>Jay. R. Smith</w:t>
      </w:r>
      <w:r w:rsidR="0099476A">
        <w:t>.</w:t>
      </w:r>
    </w:p>
    <w:p w:rsidR="008E6A03" w:rsidRPr="00BF48EE" w:rsidRDefault="008E6A03" w:rsidP="008E6A03">
      <w:pPr>
        <w:pStyle w:val="ART"/>
        <w:rPr>
          <w:b/>
        </w:rPr>
      </w:pPr>
      <w:r w:rsidRPr="00BF48EE">
        <w:rPr>
          <w:b/>
        </w:rPr>
        <w:lastRenderedPageBreak/>
        <w:t xml:space="preserve"> GREASE </w:t>
      </w:r>
      <w:r w:rsidR="000C5676" w:rsidRPr="00BF48EE">
        <w:rPr>
          <w:b/>
        </w:rPr>
        <w:t>Trap</w:t>
      </w:r>
      <w:r w:rsidRPr="00BF48EE">
        <w:rPr>
          <w:b/>
        </w:rPr>
        <w:t>:</w:t>
      </w:r>
    </w:p>
    <w:p w:rsidR="008E6A03" w:rsidRDefault="00CB5540" w:rsidP="008E6A03">
      <w:pPr>
        <w:pStyle w:val="PR1"/>
      </w:pPr>
      <w:r w:rsidRPr="0096550D">
        <w:t>Provide pre-engineered, pre-cast Class 2 concrete with design strength of 4500 psi at 28 days.  Unit shall be of monolithic construction at floor, grade 60 reinforced, with steel rebar conforming to ASTM A615 on required centers, based on size per manufacturer’s recommendations.  Complete with grey cast iron or ductile iron air tight manhole cover and frame conforming to ASTM A48-76 Class 30, with n</w:t>
      </w:r>
      <w:r w:rsidR="007E243C">
        <w:t>ormal 24” diameter manhole for H20</w:t>
      </w:r>
      <w:r w:rsidRPr="0096550D">
        <w:t xml:space="preserve"> loading. Refer to drawings for size and capacity manufactured by Park Equipment Company “GT” Series, or approved equal.  Provide concrete samp</w:t>
      </w:r>
      <w:r w:rsidR="007E243C">
        <w:t>ling well with manhole covers (H20</w:t>
      </w:r>
      <w:r w:rsidR="00E7074B">
        <w:t xml:space="preserve"> </w:t>
      </w:r>
      <w:r w:rsidRPr="0096550D">
        <w:t>loading), as specified for grease interceptor, unit as manufactured by Park Equipment</w:t>
      </w:r>
      <w:r>
        <w:t>.</w:t>
      </w:r>
      <w:r w:rsidR="008E6A03">
        <w:t xml:space="preserve"> </w:t>
      </w:r>
    </w:p>
    <w:p w:rsidR="00E93CDC" w:rsidRDefault="00E93CDC" w:rsidP="0059426C">
      <w:pPr>
        <w:pStyle w:val="PRT"/>
      </w:pPr>
      <w:r>
        <w:t xml:space="preserve">EXECUTION </w:t>
      </w:r>
    </w:p>
    <w:p w:rsidR="00E93CDC" w:rsidRPr="00BF48EE" w:rsidRDefault="00746F60" w:rsidP="00B12E4F">
      <w:pPr>
        <w:pStyle w:val="ART"/>
        <w:rPr>
          <w:b/>
        </w:rPr>
      </w:pPr>
      <w:r w:rsidRPr="00BF48EE">
        <w:rPr>
          <w:b/>
        </w:rPr>
        <w:t xml:space="preserve">PREPARATION </w:t>
      </w:r>
    </w:p>
    <w:p w:rsidR="002641C6" w:rsidRDefault="00000E7A" w:rsidP="002641C6">
      <w:pPr>
        <w:pStyle w:val="PR1"/>
      </w:pPr>
      <w:r>
        <w:t xml:space="preserve">Coordinate cutting and forming of roof and floor construction to receive drains </w:t>
      </w:r>
      <w:r w:rsidR="002641C6">
        <w:t>to required invert elevations.</w:t>
      </w:r>
    </w:p>
    <w:p w:rsidR="002641C6" w:rsidRDefault="002641C6" w:rsidP="002641C6">
      <w:pPr>
        <w:pStyle w:val="PR1"/>
      </w:pPr>
      <w:r>
        <w:t xml:space="preserve">Verify location of equipment and housekeeping pads prior to installation of floor drains. </w:t>
      </w:r>
    </w:p>
    <w:p w:rsidR="00E93CDC" w:rsidRPr="00BF48EE" w:rsidRDefault="00000E7A" w:rsidP="00B12E4F">
      <w:pPr>
        <w:pStyle w:val="ART"/>
        <w:rPr>
          <w:b/>
        </w:rPr>
      </w:pPr>
      <w:r w:rsidRPr="00BF48EE">
        <w:rPr>
          <w:b/>
        </w:rPr>
        <w:t xml:space="preserve">INSTALLATION </w:t>
      </w:r>
    </w:p>
    <w:p w:rsidR="003D15C6" w:rsidRPr="002641C6" w:rsidRDefault="002641C6" w:rsidP="002641C6">
      <w:pPr>
        <w:pStyle w:val="PR1"/>
      </w:pPr>
      <w:r w:rsidRPr="002641C6">
        <w:t>Install in accordance with manufacturer's instructions.</w:t>
      </w:r>
    </w:p>
    <w:p w:rsidR="002641C6" w:rsidRPr="002641C6" w:rsidRDefault="002641C6" w:rsidP="002641C6">
      <w:pPr>
        <w:pStyle w:val="PR1"/>
      </w:pPr>
      <w:r w:rsidRPr="002641C6">
        <w:t>Extend cleanouts to finished floor or wall surface. Lubricate threaded cleanout plugs with mixture of graphite and linseed oil.  Ensure clearance at cleanout for rodding of drainage system.</w:t>
      </w:r>
    </w:p>
    <w:p w:rsidR="002641C6" w:rsidRPr="002641C6" w:rsidRDefault="002641C6" w:rsidP="002641C6">
      <w:pPr>
        <w:pStyle w:val="PR1"/>
      </w:pPr>
      <w:r w:rsidRPr="002641C6">
        <w:t>Encase exterior cleanouts in concrete flush with grade.</w:t>
      </w:r>
    </w:p>
    <w:p w:rsidR="002641C6" w:rsidRDefault="002641C6" w:rsidP="002641C6">
      <w:pPr>
        <w:pStyle w:val="PR1"/>
      </w:pPr>
      <w:r w:rsidRPr="002641C6">
        <w:t>Pipe relief from back flow preventer to nearest drain.</w:t>
      </w:r>
    </w:p>
    <w:p w:rsidR="000C5676" w:rsidRPr="002641C6" w:rsidRDefault="000C5676" w:rsidP="002641C6">
      <w:pPr>
        <w:pStyle w:val="PR1"/>
      </w:pPr>
      <w:r>
        <w:t>Install water hammer arrestors complete with accessible isolation valve and wall access panel where serving banks of plumbing fixtures. For single plumbing fixtures locate</w:t>
      </w:r>
      <w:r w:rsidR="0034616C">
        <w:t xml:space="preserve"> the</w:t>
      </w:r>
      <w:r>
        <w:t xml:space="preserve"> </w:t>
      </w:r>
      <w:r w:rsidR="0034616C">
        <w:t>water hammer</w:t>
      </w:r>
      <w:r>
        <w:t xml:space="preserve"> arrestors above </w:t>
      </w:r>
      <w:r w:rsidR="0034616C">
        <w:t xml:space="preserve">the </w:t>
      </w:r>
      <w:r>
        <w:t>ceiling with ceiling access panel</w:t>
      </w:r>
      <w:r w:rsidR="0034616C">
        <w:t>. Where located above a lay-in ceiling, the ceiling access panel is not required.</w:t>
      </w:r>
      <w:r>
        <w:t xml:space="preserve"> </w:t>
      </w:r>
    </w:p>
    <w:p w:rsidR="0034616C" w:rsidRDefault="002641C6" w:rsidP="002641C6">
      <w:pPr>
        <w:pStyle w:val="PR1"/>
      </w:pPr>
      <w:r>
        <w:t>All backflow preventers shall be installed within the building.</w:t>
      </w:r>
      <w:r w:rsidR="000C5676">
        <w:t xml:space="preserve"> </w:t>
      </w:r>
    </w:p>
    <w:p w:rsidR="002641C6" w:rsidRPr="002641C6" w:rsidRDefault="002641C6" w:rsidP="002641C6">
      <w:pPr>
        <w:pStyle w:val="PR1"/>
      </w:pPr>
      <w:r w:rsidRPr="002641C6">
        <w:t>Lead:  It is forbidden that lead in any form be used in any water system.  If lead is used in the fabrication or installation of any water system other than waste, then all of the installed equipment and material, which may have come in contact with the lead, shall be marked with bright red or orange spray paint, and shall be removed from the project site.  The system(s) shall then be restored and re-installed using all new materials</w:t>
      </w:r>
      <w:r>
        <w:t>.</w:t>
      </w:r>
    </w:p>
    <w:p w:rsidR="00E93CDC" w:rsidRPr="00FB2FBE" w:rsidRDefault="00000E7A" w:rsidP="00FB2FBE">
      <w:pPr>
        <w:spacing w:before="400"/>
        <w:jc w:val="center"/>
        <w:rPr>
          <w:b/>
        </w:rPr>
      </w:pPr>
      <w:r w:rsidRPr="00FB2FBE">
        <w:rPr>
          <w:b/>
        </w:rPr>
        <w:t>END OF SECTION 22 1</w:t>
      </w:r>
      <w:r w:rsidR="00BF5873" w:rsidRPr="00FB2FBE">
        <w:rPr>
          <w:b/>
        </w:rPr>
        <w:t>3</w:t>
      </w:r>
      <w:r w:rsidRPr="00FB2FBE">
        <w:rPr>
          <w:b/>
        </w:rPr>
        <w:t xml:space="preserve"> </w:t>
      </w:r>
      <w:r w:rsidR="00BF5873" w:rsidRPr="00FB2FBE">
        <w:rPr>
          <w:b/>
        </w:rPr>
        <w:t>16.A</w:t>
      </w:r>
    </w:p>
    <w:sectPr w:rsidR="00E93CDC" w:rsidRPr="00FB2FBE" w:rsidSect="00A0113D">
      <w:headerReference w:type="even"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86D" w:rsidRDefault="0016486D"/>
    <w:p w:rsidR="0016486D" w:rsidRDefault="0016486D"/>
    <w:p w:rsidR="0016486D" w:rsidRDefault="0016486D"/>
    <w:p w:rsidR="0016486D" w:rsidRDefault="0016486D"/>
    <w:p w:rsidR="0016486D" w:rsidRDefault="0016486D"/>
    <w:p w:rsidR="0016486D" w:rsidRDefault="0016486D"/>
  </w:endnote>
  <w:endnote w:type="continuationSeparator" w:id="0">
    <w:p w:rsidR="0016486D" w:rsidRDefault="0016486D">
      <w:r>
        <w:t xml:space="preserve"> </w:t>
      </w:r>
    </w:p>
    <w:p w:rsidR="0016486D" w:rsidRDefault="0016486D"/>
    <w:p w:rsidR="0016486D" w:rsidRDefault="0016486D"/>
    <w:p w:rsidR="0016486D" w:rsidRDefault="0016486D"/>
    <w:p w:rsidR="0016486D" w:rsidRDefault="0016486D"/>
    <w:p w:rsidR="0016486D" w:rsidRDefault="0016486D"/>
  </w:endnote>
  <w:endnote w:type="continuationNotice" w:id="1">
    <w:p w:rsidR="0016486D" w:rsidRDefault="0016486D">
      <w:r>
        <w:t xml:space="preserve"> </w:t>
      </w:r>
    </w:p>
    <w:p w:rsidR="0016486D" w:rsidRDefault="0016486D"/>
    <w:p w:rsidR="0016486D" w:rsidRDefault="0016486D"/>
    <w:p w:rsidR="0016486D" w:rsidRDefault="0016486D"/>
    <w:p w:rsidR="0016486D" w:rsidRDefault="0016486D"/>
    <w:p w:rsidR="0016486D" w:rsidRDefault="00164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Albertus Medi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54A" w:rsidRDefault="0069454A" w:rsidP="0069454A">
    <w:pPr>
      <w:pStyle w:val="Footer"/>
    </w:pPr>
    <w:r>
      <w:t>PLUMBING SPECIALTIES</w:t>
    </w:r>
  </w:p>
  <w:p w:rsidR="00150DD2" w:rsidRDefault="00150DD2" w:rsidP="00EE59E5">
    <w:pPr>
      <w:pStyle w:val="Footer"/>
    </w:pPr>
    <w:r>
      <w:t>22 13 16.A</w:t>
    </w:r>
  </w:p>
  <w:p w:rsidR="00150DD2" w:rsidRDefault="0016486D" w:rsidP="00EE59E5">
    <w:pPr>
      <w:pStyle w:val="Footer"/>
    </w:pPr>
    <w:sdt>
      <w:sdtPr>
        <w:id w:val="465939810"/>
        <w:docPartObj>
          <w:docPartGallery w:val="Page Numbers (Bottom of Page)"/>
          <w:docPartUnique/>
        </w:docPartObj>
      </w:sdtPr>
      <w:sdtEndPr>
        <w:rPr>
          <w:noProof/>
        </w:rPr>
      </w:sdtEndPr>
      <w:sdtContent>
        <w:r w:rsidR="0069454A">
          <w:fldChar w:fldCharType="begin"/>
        </w:r>
        <w:r w:rsidR="0069454A">
          <w:instrText xml:space="preserve"> PAGE   \* MERGEFORMAT </w:instrText>
        </w:r>
        <w:r w:rsidR="0069454A">
          <w:fldChar w:fldCharType="separate"/>
        </w:r>
        <w:r w:rsidR="00A0113D">
          <w:rPr>
            <w:noProof/>
          </w:rPr>
          <w:t>6</w:t>
        </w:r>
        <w:r w:rsidR="0069454A">
          <w:rPr>
            <w:noProof/>
          </w:rPr>
          <w:fldChar w:fldCharType="end"/>
        </w:r>
        <w:r w:rsidR="00150DD2">
          <w:rPr>
            <w:noProof/>
          </w:rPr>
          <w:t xml:space="preserve"> OF 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54A" w:rsidRDefault="0069454A" w:rsidP="0069454A">
    <w:pPr>
      <w:pStyle w:val="Footer"/>
      <w:jc w:val="right"/>
    </w:pPr>
    <w:r>
      <w:t>PLUMBING SPECIALTIES</w:t>
    </w:r>
  </w:p>
  <w:p w:rsidR="00BF48EE" w:rsidRDefault="00BF48EE" w:rsidP="00EE59E5">
    <w:pPr>
      <w:pStyle w:val="Footer"/>
      <w:jc w:val="right"/>
    </w:pPr>
    <w:r>
      <w:t>22 13 16.A</w:t>
    </w:r>
  </w:p>
  <w:p w:rsidR="00F91848" w:rsidRDefault="0016486D" w:rsidP="00EE59E5">
    <w:pPr>
      <w:pStyle w:val="Footer"/>
      <w:jc w:val="right"/>
    </w:pPr>
    <w:sdt>
      <w:sdtPr>
        <w:id w:val="-479543310"/>
        <w:docPartObj>
          <w:docPartGallery w:val="Page Numbers (Bottom of Page)"/>
          <w:docPartUnique/>
        </w:docPartObj>
      </w:sdtPr>
      <w:sdtEndPr>
        <w:rPr>
          <w:noProof/>
        </w:rPr>
      </w:sdtEndPr>
      <w:sdtContent>
        <w:r w:rsidR="006A2A09">
          <w:fldChar w:fldCharType="begin"/>
        </w:r>
        <w:r w:rsidR="00BF48EE">
          <w:instrText xml:space="preserve"> PAGE   \* MERGEFORMAT </w:instrText>
        </w:r>
        <w:r w:rsidR="006A2A09">
          <w:fldChar w:fldCharType="separate"/>
        </w:r>
        <w:r w:rsidR="00A0113D">
          <w:rPr>
            <w:noProof/>
          </w:rPr>
          <w:t>1</w:t>
        </w:r>
        <w:r w:rsidR="006A2A09">
          <w:rPr>
            <w:noProof/>
          </w:rPr>
          <w:fldChar w:fldCharType="end"/>
        </w:r>
        <w:r w:rsidR="00BF48EE">
          <w:rPr>
            <w:noProof/>
          </w:rPr>
          <w:t xml:space="preserve"> OF 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86D" w:rsidRDefault="0016486D">
      <w:r>
        <w:separator/>
      </w:r>
    </w:p>
    <w:p w:rsidR="0016486D" w:rsidRDefault="0016486D"/>
    <w:p w:rsidR="0016486D" w:rsidRDefault="0016486D"/>
    <w:p w:rsidR="0016486D" w:rsidRDefault="0016486D"/>
    <w:p w:rsidR="0016486D" w:rsidRDefault="0016486D"/>
    <w:p w:rsidR="0016486D" w:rsidRDefault="0016486D"/>
  </w:footnote>
  <w:footnote w:type="continuationSeparator" w:id="0">
    <w:p w:rsidR="0016486D" w:rsidRDefault="0016486D">
      <w:r>
        <w:continuationSeparator/>
      </w:r>
    </w:p>
    <w:p w:rsidR="0016486D" w:rsidRDefault="0016486D"/>
    <w:p w:rsidR="0016486D" w:rsidRDefault="0016486D"/>
    <w:p w:rsidR="0016486D" w:rsidRDefault="0016486D"/>
    <w:p w:rsidR="0016486D" w:rsidRDefault="0016486D"/>
    <w:p w:rsidR="0016486D" w:rsidRDefault="00164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848" w:rsidRDefault="00F91848"/>
  <w:p w:rsidR="00F91848" w:rsidRDefault="00F91848"/>
  <w:p w:rsidR="00F91848" w:rsidRDefault="00F91848"/>
  <w:p w:rsidR="00F91848" w:rsidRDefault="00F91848"/>
  <w:p w:rsidR="00F91848" w:rsidRDefault="00F918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D546BFA"/>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w:eastAsia="Times New Roman" w:hAnsi="Arial" w:cs="Arial"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48557AE"/>
    <w:multiLevelType w:val="multilevel"/>
    <w:tmpl w:val="07A6C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81"/>
    <w:rsid w:val="00000E7A"/>
    <w:rsid w:val="00003F2E"/>
    <w:rsid w:val="00026934"/>
    <w:rsid w:val="000508D9"/>
    <w:rsid w:val="000575C1"/>
    <w:rsid w:val="00062BFE"/>
    <w:rsid w:val="00063375"/>
    <w:rsid w:val="00085F09"/>
    <w:rsid w:val="00096A14"/>
    <w:rsid w:val="000A0C0D"/>
    <w:rsid w:val="000A17CF"/>
    <w:rsid w:val="000A3051"/>
    <w:rsid w:val="000B3108"/>
    <w:rsid w:val="000B5A6B"/>
    <w:rsid w:val="000C0F68"/>
    <w:rsid w:val="000C5676"/>
    <w:rsid w:val="000C64D9"/>
    <w:rsid w:val="000F170A"/>
    <w:rsid w:val="00115849"/>
    <w:rsid w:val="0012481A"/>
    <w:rsid w:val="00126B57"/>
    <w:rsid w:val="00150DD2"/>
    <w:rsid w:val="00151E0B"/>
    <w:rsid w:val="0016486D"/>
    <w:rsid w:val="00195808"/>
    <w:rsid w:val="001A65B6"/>
    <w:rsid w:val="001B6E60"/>
    <w:rsid w:val="001C01EB"/>
    <w:rsid w:val="00202A6F"/>
    <w:rsid w:val="002058C2"/>
    <w:rsid w:val="002113A9"/>
    <w:rsid w:val="0021492E"/>
    <w:rsid w:val="00223408"/>
    <w:rsid w:val="002276EC"/>
    <w:rsid w:val="00240FF9"/>
    <w:rsid w:val="00251550"/>
    <w:rsid w:val="0025308B"/>
    <w:rsid w:val="002641C6"/>
    <w:rsid w:val="00266606"/>
    <w:rsid w:val="00270023"/>
    <w:rsid w:val="00295D1D"/>
    <w:rsid w:val="00297DA2"/>
    <w:rsid w:val="002A5076"/>
    <w:rsid w:val="002C543E"/>
    <w:rsid w:val="002D6604"/>
    <w:rsid w:val="002E1A8A"/>
    <w:rsid w:val="002E1EDC"/>
    <w:rsid w:val="002E2A9D"/>
    <w:rsid w:val="002E6121"/>
    <w:rsid w:val="002F5889"/>
    <w:rsid w:val="002F6BAC"/>
    <w:rsid w:val="003070FA"/>
    <w:rsid w:val="0031500B"/>
    <w:rsid w:val="00326848"/>
    <w:rsid w:val="00337E2C"/>
    <w:rsid w:val="0034468C"/>
    <w:rsid w:val="0034616C"/>
    <w:rsid w:val="00352B0E"/>
    <w:rsid w:val="00360564"/>
    <w:rsid w:val="003634C9"/>
    <w:rsid w:val="00373580"/>
    <w:rsid w:val="0039094E"/>
    <w:rsid w:val="0039411E"/>
    <w:rsid w:val="003959AF"/>
    <w:rsid w:val="003C4CB0"/>
    <w:rsid w:val="003D15C6"/>
    <w:rsid w:val="003D3F5A"/>
    <w:rsid w:val="003D6066"/>
    <w:rsid w:val="003E01ED"/>
    <w:rsid w:val="003E5C73"/>
    <w:rsid w:val="003F1AC3"/>
    <w:rsid w:val="00410A21"/>
    <w:rsid w:val="00413F38"/>
    <w:rsid w:val="004266B0"/>
    <w:rsid w:val="0043317F"/>
    <w:rsid w:val="00436759"/>
    <w:rsid w:val="004433C9"/>
    <w:rsid w:val="00463CA6"/>
    <w:rsid w:val="004676CC"/>
    <w:rsid w:val="0048078E"/>
    <w:rsid w:val="0048650C"/>
    <w:rsid w:val="0049142D"/>
    <w:rsid w:val="004922A6"/>
    <w:rsid w:val="00492DFE"/>
    <w:rsid w:val="004947E7"/>
    <w:rsid w:val="0049688B"/>
    <w:rsid w:val="004A196D"/>
    <w:rsid w:val="004D497A"/>
    <w:rsid w:val="004E7294"/>
    <w:rsid w:val="004F6B0C"/>
    <w:rsid w:val="00521051"/>
    <w:rsid w:val="00523F24"/>
    <w:rsid w:val="00533D2A"/>
    <w:rsid w:val="00535020"/>
    <w:rsid w:val="00547BCA"/>
    <w:rsid w:val="00564E3F"/>
    <w:rsid w:val="005839D8"/>
    <w:rsid w:val="0059426C"/>
    <w:rsid w:val="005C7A84"/>
    <w:rsid w:val="005D09AE"/>
    <w:rsid w:val="005D2C62"/>
    <w:rsid w:val="005D6ACA"/>
    <w:rsid w:val="006217D6"/>
    <w:rsid w:val="006704D0"/>
    <w:rsid w:val="0069454A"/>
    <w:rsid w:val="006A2696"/>
    <w:rsid w:val="006A2A09"/>
    <w:rsid w:val="006A3B3F"/>
    <w:rsid w:val="006B0F51"/>
    <w:rsid w:val="006C5279"/>
    <w:rsid w:val="006C61EC"/>
    <w:rsid w:val="006E179F"/>
    <w:rsid w:val="006E22BA"/>
    <w:rsid w:val="006E53F9"/>
    <w:rsid w:val="00703BD8"/>
    <w:rsid w:val="00733262"/>
    <w:rsid w:val="007414DB"/>
    <w:rsid w:val="00746F60"/>
    <w:rsid w:val="00774FF8"/>
    <w:rsid w:val="00790409"/>
    <w:rsid w:val="00794183"/>
    <w:rsid w:val="007C0714"/>
    <w:rsid w:val="007D0292"/>
    <w:rsid w:val="007D4140"/>
    <w:rsid w:val="007E243C"/>
    <w:rsid w:val="007E7D13"/>
    <w:rsid w:val="007F1190"/>
    <w:rsid w:val="008032B3"/>
    <w:rsid w:val="00810C6C"/>
    <w:rsid w:val="0082329D"/>
    <w:rsid w:val="00827D7D"/>
    <w:rsid w:val="008346D2"/>
    <w:rsid w:val="0085339A"/>
    <w:rsid w:val="00860E4B"/>
    <w:rsid w:val="00874551"/>
    <w:rsid w:val="00884377"/>
    <w:rsid w:val="00885701"/>
    <w:rsid w:val="008B53C2"/>
    <w:rsid w:val="008B5464"/>
    <w:rsid w:val="008D207C"/>
    <w:rsid w:val="008E6A03"/>
    <w:rsid w:val="008F096B"/>
    <w:rsid w:val="008F18E5"/>
    <w:rsid w:val="009166B3"/>
    <w:rsid w:val="00916C21"/>
    <w:rsid w:val="0092281A"/>
    <w:rsid w:val="00933CFC"/>
    <w:rsid w:val="00950BB1"/>
    <w:rsid w:val="009614E9"/>
    <w:rsid w:val="00971A69"/>
    <w:rsid w:val="00986F21"/>
    <w:rsid w:val="0099476A"/>
    <w:rsid w:val="009D07A4"/>
    <w:rsid w:val="009D3C07"/>
    <w:rsid w:val="009D5932"/>
    <w:rsid w:val="009D7C9D"/>
    <w:rsid w:val="009F157F"/>
    <w:rsid w:val="00A00ECC"/>
    <w:rsid w:val="00A0113D"/>
    <w:rsid w:val="00A05AD9"/>
    <w:rsid w:val="00A07287"/>
    <w:rsid w:val="00A25911"/>
    <w:rsid w:val="00A322A4"/>
    <w:rsid w:val="00A3453C"/>
    <w:rsid w:val="00A459DC"/>
    <w:rsid w:val="00A50C38"/>
    <w:rsid w:val="00A53E32"/>
    <w:rsid w:val="00A632C4"/>
    <w:rsid w:val="00A83597"/>
    <w:rsid w:val="00A8589F"/>
    <w:rsid w:val="00A9446E"/>
    <w:rsid w:val="00A96440"/>
    <w:rsid w:val="00AD1411"/>
    <w:rsid w:val="00AD60E8"/>
    <w:rsid w:val="00AE31E7"/>
    <w:rsid w:val="00AE5140"/>
    <w:rsid w:val="00B0668A"/>
    <w:rsid w:val="00B12E4F"/>
    <w:rsid w:val="00B17A1F"/>
    <w:rsid w:val="00B45CF9"/>
    <w:rsid w:val="00B51CD6"/>
    <w:rsid w:val="00B55A48"/>
    <w:rsid w:val="00B55E54"/>
    <w:rsid w:val="00B6316A"/>
    <w:rsid w:val="00B633D0"/>
    <w:rsid w:val="00B90302"/>
    <w:rsid w:val="00B92710"/>
    <w:rsid w:val="00BA0DCC"/>
    <w:rsid w:val="00BC0FC3"/>
    <w:rsid w:val="00BC33B8"/>
    <w:rsid w:val="00BD6EEC"/>
    <w:rsid w:val="00BE78FE"/>
    <w:rsid w:val="00BF25BF"/>
    <w:rsid w:val="00BF48EE"/>
    <w:rsid w:val="00BF5873"/>
    <w:rsid w:val="00C00819"/>
    <w:rsid w:val="00C1614D"/>
    <w:rsid w:val="00C1637A"/>
    <w:rsid w:val="00C2319C"/>
    <w:rsid w:val="00C33980"/>
    <w:rsid w:val="00C602E1"/>
    <w:rsid w:val="00C629BE"/>
    <w:rsid w:val="00C63D8D"/>
    <w:rsid w:val="00C66041"/>
    <w:rsid w:val="00C84DA1"/>
    <w:rsid w:val="00C9506D"/>
    <w:rsid w:val="00CA3394"/>
    <w:rsid w:val="00CB1E2E"/>
    <w:rsid w:val="00CB264C"/>
    <w:rsid w:val="00CB45D2"/>
    <w:rsid w:val="00CB5540"/>
    <w:rsid w:val="00CB61DD"/>
    <w:rsid w:val="00CC1E81"/>
    <w:rsid w:val="00CD4D81"/>
    <w:rsid w:val="00CF630B"/>
    <w:rsid w:val="00D04A52"/>
    <w:rsid w:val="00D0545B"/>
    <w:rsid w:val="00D2500B"/>
    <w:rsid w:val="00D4740F"/>
    <w:rsid w:val="00D4776E"/>
    <w:rsid w:val="00D53653"/>
    <w:rsid w:val="00D56A61"/>
    <w:rsid w:val="00D56DDD"/>
    <w:rsid w:val="00D66400"/>
    <w:rsid w:val="00D7743E"/>
    <w:rsid w:val="00D81FF2"/>
    <w:rsid w:val="00DA5CB2"/>
    <w:rsid w:val="00DA788E"/>
    <w:rsid w:val="00DC31C9"/>
    <w:rsid w:val="00DD5271"/>
    <w:rsid w:val="00DD5887"/>
    <w:rsid w:val="00DE7A68"/>
    <w:rsid w:val="00DF5B9F"/>
    <w:rsid w:val="00E022BB"/>
    <w:rsid w:val="00E1588B"/>
    <w:rsid w:val="00E50830"/>
    <w:rsid w:val="00E5093E"/>
    <w:rsid w:val="00E62668"/>
    <w:rsid w:val="00E648B7"/>
    <w:rsid w:val="00E67CDD"/>
    <w:rsid w:val="00E7074B"/>
    <w:rsid w:val="00E75315"/>
    <w:rsid w:val="00E75F75"/>
    <w:rsid w:val="00E93CDC"/>
    <w:rsid w:val="00EA039B"/>
    <w:rsid w:val="00EA6B92"/>
    <w:rsid w:val="00EE05C8"/>
    <w:rsid w:val="00EE0D7C"/>
    <w:rsid w:val="00EE1035"/>
    <w:rsid w:val="00EE53BE"/>
    <w:rsid w:val="00EE59E5"/>
    <w:rsid w:val="00EE7E8C"/>
    <w:rsid w:val="00F315C8"/>
    <w:rsid w:val="00F361F6"/>
    <w:rsid w:val="00F52DAB"/>
    <w:rsid w:val="00F52FE4"/>
    <w:rsid w:val="00F54438"/>
    <w:rsid w:val="00F81663"/>
    <w:rsid w:val="00F83CE5"/>
    <w:rsid w:val="00F91848"/>
    <w:rsid w:val="00FB2FBE"/>
    <w:rsid w:val="00FC0D67"/>
    <w:rsid w:val="00FC3D3B"/>
    <w:rsid w:val="00FC49A9"/>
    <w:rsid w:val="00FD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1D510"/>
  <w15:docId w15:val="{2A036ADB-2083-44F3-A628-85A44462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26C"/>
    <w:pPr>
      <w:widowControl w:val="0"/>
    </w:pPr>
    <w:rPr>
      <w:rFonts w:ascii="Arial" w:hAnsi="Arial"/>
      <w:bCs/>
      <w:iCs/>
    </w:rPr>
  </w:style>
  <w:style w:type="paragraph" w:styleId="Heading1">
    <w:name w:val="heading 1"/>
    <w:basedOn w:val="Normal"/>
    <w:next w:val="Normal"/>
    <w:autoRedefine/>
    <w:qFormat/>
    <w:rsid w:val="00026934"/>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026934"/>
    <w:pPr>
      <w:keepNext/>
      <w:widowControl/>
      <w:tabs>
        <w:tab w:val="left" w:pos="6480"/>
      </w:tabs>
      <w:ind w:left="288"/>
      <w:outlineLvl w:val="1"/>
    </w:pPr>
    <w:rPr>
      <w:b/>
      <w:caps/>
      <w:sz w:val="24"/>
    </w:rPr>
  </w:style>
  <w:style w:type="paragraph" w:styleId="Heading3">
    <w:name w:val="heading 3"/>
    <w:basedOn w:val="Normal"/>
    <w:next w:val="Normal"/>
    <w:autoRedefine/>
    <w:qFormat/>
    <w:rsid w:val="00026934"/>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026934"/>
    <w:pPr>
      <w:widowControl/>
      <w:spacing w:before="400"/>
      <w:jc w:val="center"/>
    </w:pPr>
    <w:rPr>
      <w:b/>
      <w:caps/>
    </w:rPr>
  </w:style>
  <w:style w:type="paragraph" w:styleId="TOC9">
    <w:name w:val="toc 9"/>
    <w:basedOn w:val="Normal"/>
    <w:next w:val="Normal"/>
    <w:autoRedefine/>
    <w:semiHidden/>
    <w:rsid w:val="00026934"/>
    <w:pPr>
      <w:ind w:left="1760"/>
    </w:pPr>
  </w:style>
  <w:style w:type="paragraph" w:styleId="FootnoteText">
    <w:name w:val="footnote text"/>
    <w:aliases w:val="Foot Title"/>
    <w:basedOn w:val="Normal"/>
    <w:autoRedefine/>
    <w:semiHidden/>
    <w:rsid w:val="00026934"/>
    <w:rPr>
      <w:caps/>
    </w:rPr>
  </w:style>
  <w:style w:type="paragraph" w:styleId="TOC5">
    <w:name w:val="toc 5"/>
    <w:basedOn w:val="Normal"/>
    <w:next w:val="Normal"/>
    <w:autoRedefine/>
    <w:semiHidden/>
    <w:rsid w:val="009614E9"/>
    <w:pPr>
      <w:ind w:left="800"/>
    </w:pPr>
  </w:style>
  <w:style w:type="paragraph" w:styleId="Header">
    <w:name w:val="header"/>
    <w:aliases w:val="Head Project"/>
    <w:basedOn w:val="Normal"/>
    <w:link w:val="HeaderChar"/>
    <w:autoRedefine/>
    <w:uiPriority w:val="99"/>
    <w:rsid w:val="00026934"/>
    <w:pPr>
      <w:tabs>
        <w:tab w:val="center" w:pos="4320"/>
        <w:tab w:val="right" w:pos="8640"/>
      </w:tabs>
    </w:pPr>
    <w:rPr>
      <w:caps/>
    </w:rPr>
  </w:style>
  <w:style w:type="paragraph" w:styleId="Footer">
    <w:name w:val="footer"/>
    <w:basedOn w:val="Normal"/>
    <w:link w:val="FooterChar"/>
    <w:uiPriority w:val="99"/>
    <w:rsid w:val="00026934"/>
    <w:pPr>
      <w:tabs>
        <w:tab w:val="center" w:pos="4320"/>
        <w:tab w:val="right" w:pos="8640"/>
      </w:tabs>
    </w:pPr>
  </w:style>
  <w:style w:type="paragraph" w:customStyle="1" w:styleId="PRT">
    <w:name w:val="PRT"/>
    <w:basedOn w:val="Normal"/>
    <w:next w:val="Normal"/>
    <w:rsid w:val="0059426C"/>
    <w:pPr>
      <w:keepNext/>
      <w:widowControl/>
      <w:numPr>
        <w:numId w:val="1"/>
      </w:numPr>
      <w:spacing w:before="200" w:after="200"/>
      <w:jc w:val="both"/>
    </w:pPr>
    <w:rPr>
      <w:b/>
    </w:rPr>
  </w:style>
  <w:style w:type="paragraph" w:customStyle="1" w:styleId="Title1">
    <w:name w:val="Title1"/>
    <w:basedOn w:val="Normal"/>
    <w:autoRedefine/>
    <w:rsid w:val="00026934"/>
    <w:rPr>
      <w:b/>
      <w:caps/>
    </w:rPr>
  </w:style>
  <w:style w:type="paragraph" w:customStyle="1" w:styleId="PR1">
    <w:name w:val="PR1"/>
    <w:basedOn w:val="Normal"/>
    <w:rsid w:val="00266606"/>
    <w:pPr>
      <w:keepLines/>
      <w:widowControl/>
      <w:numPr>
        <w:ilvl w:val="4"/>
        <w:numId w:val="1"/>
      </w:numPr>
      <w:spacing w:after="200"/>
      <w:jc w:val="both"/>
    </w:pPr>
    <w:rPr>
      <w:rFonts w:cs="Arial"/>
      <w:spacing w:val="-3"/>
    </w:rPr>
  </w:style>
  <w:style w:type="paragraph" w:customStyle="1" w:styleId="ART">
    <w:name w:val="ART"/>
    <w:basedOn w:val="Normal"/>
    <w:next w:val="PR1"/>
    <w:link w:val="ARTChar"/>
    <w:rsid w:val="00B12E4F"/>
    <w:pPr>
      <w:keepNext/>
      <w:widowControl/>
      <w:numPr>
        <w:ilvl w:val="3"/>
        <w:numId w:val="1"/>
      </w:numPr>
      <w:spacing w:after="200"/>
      <w:jc w:val="both"/>
    </w:pPr>
    <w:rPr>
      <w:caps/>
    </w:rPr>
  </w:style>
  <w:style w:type="paragraph" w:customStyle="1" w:styleId="PR2">
    <w:name w:val="PR2"/>
    <w:basedOn w:val="Normal"/>
    <w:link w:val="PR2Char"/>
    <w:rsid w:val="00026934"/>
    <w:pPr>
      <w:keepLines/>
      <w:widowControl/>
      <w:numPr>
        <w:ilvl w:val="5"/>
        <w:numId w:val="1"/>
      </w:numPr>
      <w:spacing w:after="200"/>
      <w:jc w:val="both"/>
    </w:pPr>
    <w:rPr>
      <w:bCs w:val="0"/>
    </w:rPr>
  </w:style>
  <w:style w:type="paragraph" w:customStyle="1" w:styleId="PR3">
    <w:name w:val="PR3"/>
    <w:basedOn w:val="Normal"/>
    <w:autoRedefine/>
    <w:rsid w:val="00026934"/>
    <w:pPr>
      <w:keepLines/>
      <w:widowControl/>
      <w:numPr>
        <w:ilvl w:val="6"/>
        <w:numId w:val="1"/>
      </w:numPr>
      <w:spacing w:after="200"/>
      <w:jc w:val="both"/>
    </w:pPr>
    <w:rPr>
      <w:bCs w:val="0"/>
    </w:rPr>
  </w:style>
  <w:style w:type="paragraph" w:customStyle="1" w:styleId="PR4">
    <w:name w:val="PR4"/>
    <w:basedOn w:val="Normal"/>
    <w:autoRedefine/>
    <w:rsid w:val="00026934"/>
    <w:pPr>
      <w:keepLines/>
      <w:widowControl/>
      <w:numPr>
        <w:ilvl w:val="7"/>
        <w:numId w:val="1"/>
      </w:numPr>
      <w:spacing w:after="200"/>
      <w:jc w:val="both"/>
    </w:pPr>
    <w:rPr>
      <w:bCs w:val="0"/>
    </w:rPr>
  </w:style>
  <w:style w:type="paragraph" w:customStyle="1" w:styleId="PR5">
    <w:name w:val="PR5"/>
    <w:basedOn w:val="Normal"/>
    <w:autoRedefine/>
    <w:rsid w:val="00026934"/>
    <w:pPr>
      <w:keepLines/>
      <w:widowControl/>
      <w:numPr>
        <w:ilvl w:val="8"/>
        <w:numId w:val="1"/>
      </w:numPr>
      <w:spacing w:after="200"/>
      <w:jc w:val="both"/>
    </w:pPr>
    <w:rPr>
      <w:bCs w:val="0"/>
    </w:rPr>
  </w:style>
  <w:style w:type="paragraph" w:customStyle="1" w:styleId="CMT">
    <w:name w:val="CMT"/>
    <w:basedOn w:val="Normal"/>
    <w:autoRedefine/>
    <w:rsid w:val="00BF48EE"/>
    <w:pPr>
      <w:keepNext/>
      <w:widowControl/>
      <w:spacing w:before="200" w:after="400"/>
    </w:pPr>
    <w:rPr>
      <w:b/>
      <w:caps/>
    </w:rPr>
  </w:style>
  <w:style w:type="paragraph" w:customStyle="1" w:styleId="SUT">
    <w:name w:val="SUT"/>
    <w:basedOn w:val="Normal"/>
    <w:next w:val="PR1"/>
    <w:rsid w:val="005D6ACA"/>
    <w:pPr>
      <w:widowControl/>
      <w:spacing w:before="240"/>
      <w:jc w:val="both"/>
    </w:pPr>
    <w:rPr>
      <w:bCs w:val="0"/>
      <w:iCs w:val="0"/>
    </w:rPr>
  </w:style>
  <w:style w:type="paragraph" w:customStyle="1" w:styleId="DST">
    <w:name w:val="DST"/>
    <w:basedOn w:val="Normal"/>
    <w:next w:val="PR1"/>
    <w:rsid w:val="005D6ACA"/>
    <w:pPr>
      <w:widowControl/>
      <w:spacing w:before="240"/>
      <w:jc w:val="both"/>
    </w:pPr>
    <w:rPr>
      <w:bCs w:val="0"/>
      <w:iCs w:val="0"/>
    </w:rPr>
  </w:style>
  <w:style w:type="paragraph" w:styleId="BalloonText">
    <w:name w:val="Balloon Text"/>
    <w:basedOn w:val="Normal"/>
    <w:semiHidden/>
    <w:rsid w:val="0085339A"/>
    <w:rPr>
      <w:rFonts w:ascii="Tahoma" w:hAnsi="Tahoma" w:cs="Tahoma"/>
      <w:sz w:val="16"/>
      <w:szCs w:val="16"/>
    </w:rPr>
  </w:style>
  <w:style w:type="paragraph" w:customStyle="1" w:styleId="AttachmentID">
    <w:name w:val="Attachment ID"/>
    <w:basedOn w:val="Header"/>
    <w:next w:val="Normal"/>
    <w:autoRedefine/>
    <w:rsid w:val="00026934"/>
    <w:pPr>
      <w:tabs>
        <w:tab w:val="clear" w:pos="4320"/>
        <w:tab w:val="clear" w:pos="8640"/>
      </w:tabs>
      <w:spacing w:before="120" w:after="240"/>
      <w:jc w:val="right"/>
    </w:pPr>
    <w:rPr>
      <w:b/>
      <w:caps w:val="0"/>
      <w:sz w:val="28"/>
    </w:rPr>
  </w:style>
  <w:style w:type="paragraph" w:customStyle="1" w:styleId="AttachmentName">
    <w:name w:val="Attachment Name"/>
    <w:basedOn w:val="Normal"/>
    <w:next w:val="Normal"/>
    <w:autoRedefine/>
    <w:rsid w:val="00026934"/>
    <w:pPr>
      <w:spacing w:after="120"/>
      <w:contextualSpacing/>
      <w:jc w:val="center"/>
    </w:pPr>
    <w:rPr>
      <w:b/>
      <w:caps/>
      <w:sz w:val="28"/>
    </w:rPr>
  </w:style>
  <w:style w:type="paragraph" w:customStyle="1" w:styleId="Attachment">
    <w:name w:val="Attachment"/>
    <w:aliases w:val="Proj Number"/>
    <w:basedOn w:val="Heading3"/>
    <w:autoRedefine/>
    <w:rsid w:val="00026934"/>
    <w:pPr>
      <w:tabs>
        <w:tab w:val="clear" w:pos="360"/>
        <w:tab w:val="clear" w:pos="8467"/>
      </w:tabs>
      <w:spacing w:before="120" w:after="120"/>
      <w:ind w:left="144"/>
    </w:pPr>
  </w:style>
  <w:style w:type="paragraph" w:customStyle="1" w:styleId="Comment">
    <w:name w:val="Comment"/>
    <w:basedOn w:val="Normal"/>
    <w:next w:val="Normal"/>
    <w:autoRedefine/>
    <w:rsid w:val="00026934"/>
    <w:pPr>
      <w:spacing w:before="120" w:after="120"/>
    </w:pPr>
    <w:rPr>
      <w:b/>
      <w:caps/>
      <w:color w:val="0000FF"/>
      <w:sz w:val="18"/>
    </w:rPr>
  </w:style>
  <w:style w:type="paragraph" w:customStyle="1" w:styleId="prsub">
    <w:name w:val="prsub"/>
    <w:basedOn w:val="Normal"/>
    <w:next w:val="PR2"/>
    <w:rsid w:val="00FC3D3B"/>
    <w:pPr>
      <w:spacing w:after="200"/>
      <w:ind w:left="1440"/>
    </w:pPr>
  </w:style>
  <w:style w:type="character" w:styleId="FollowedHyperlink">
    <w:name w:val="FollowedHyperlink"/>
    <w:rsid w:val="004A196D"/>
    <w:rPr>
      <w:color w:val="800080"/>
      <w:u w:val="single"/>
    </w:rPr>
  </w:style>
  <w:style w:type="character" w:customStyle="1" w:styleId="ARTChar">
    <w:name w:val="ART Char"/>
    <w:link w:val="ART"/>
    <w:rsid w:val="00B12E4F"/>
    <w:rPr>
      <w:rFonts w:ascii="Arial" w:hAnsi="Arial"/>
      <w:bCs/>
      <w:iCs/>
      <w:caps/>
    </w:rPr>
  </w:style>
  <w:style w:type="character" w:customStyle="1" w:styleId="PR2Char">
    <w:name w:val="PR2 Char"/>
    <w:link w:val="PR2"/>
    <w:rsid w:val="00026934"/>
    <w:rPr>
      <w:rFonts w:ascii="Arial" w:hAnsi="Arial"/>
      <w:iCs/>
    </w:rPr>
  </w:style>
  <w:style w:type="paragraph" w:customStyle="1" w:styleId="3">
    <w:name w:val="3"/>
    <w:basedOn w:val="Normal"/>
    <w:rsid w:val="00096A14"/>
    <w:pPr>
      <w:widowControl/>
      <w:overflowPunct w:val="0"/>
      <w:autoSpaceDE w:val="0"/>
      <w:autoSpaceDN w:val="0"/>
      <w:adjustRightInd w:val="0"/>
      <w:textAlignment w:val="baseline"/>
    </w:pPr>
    <w:rPr>
      <w:rFonts w:ascii="Dutch Roman 12pt" w:hAnsi="Dutch Roman 12pt"/>
      <w:bCs w:val="0"/>
      <w:iCs w:val="0"/>
      <w:sz w:val="24"/>
    </w:rPr>
  </w:style>
  <w:style w:type="paragraph" w:customStyle="1" w:styleId="1">
    <w:name w:val="1"/>
    <w:basedOn w:val="Normal"/>
    <w:rsid w:val="00096A14"/>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pPr>
    <w:rPr>
      <w:rFonts w:ascii="Times New Roman" w:hAnsi="Times New Roman"/>
      <w:b/>
      <w:bCs w:val="0"/>
      <w:iCs w:val="0"/>
      <w:spacing w:val="-3"/>
      <w:sz w:val="24"/>
    </w:rPr>
  </w:style>
  <w:style w:type="character" w:customStyle="1" w:styleId="FooterChar">
    <w:name w:val="Footer Char"/>
    <w:basedOn w:val="DefaultParagraphFont"/>
    <w:link w:val="Footer"/>
    <w:uiPriority w:val="99"/>
    <w:rsid w:val="00BF48EE"/>
    <w:rPr>
      <w:rFonts w:ascii="Arial" w:hAnsi="Arial"/>
      <w:bCs/>
      <w:iCs/>
    </w:rPr>
  </w:style>
  <w:style w:type="character" w:customStyle="1" w:styleId="HeaderChar">
    <w:name w:val="Header Char"/>
    <w:aliases w:val="Head Project Char"/>
    <w:basedOn w:val="DefaultParagraphFont"/>
    <w:link w:val="Header"/>
    <w:uiPriority w:val="99"/>
    <w:rsid w:val="00A0113D"/>
    <w:rPr>
      <w:rFonts w:ascii="Arial" w:hAnsi="Arial"/>
      <w:bCs/>
      <w:iCs/>
      <w:caps/>
    </w:rPr>
  </w:style>
  <w:style w:type="paragraph" w:styleId="BodyText">
    <w:name w:val="Body Text"/>
    <w:basedOn w:val="Normal"/>
    <w:link w:val="BodyTextChar"/>
    <w:rsid w:val="00A0113D"/>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A0113D"/>
    <w:rPr>
      <w:rFonts w:ascii="Helvetica" w:hAnsi="Helvetica"/>
      <w:i/>
    </w:rPr>
  </w:style>
  <w:style w:type="table" w:customStyle="1" w:styleId="TableGrid1">
    <w:name w:val="Table Grid1"/>
    <w:basedOn w:val="TableNormal"/>
    <w:next w:val="TableGrid"/>
    <w:uiPriority w:val="59"/>
    <w:rsid w:val="00A011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0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C3CFB-3BCA-4305-A7F5-8A57EFC7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15</TotalTime>
  <Pages>8</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Plumbing Specialties</vt:lpstr>
    </vt:vector>
  </TitlesOfParts>
  <Manager>CAPITAL PLANNING AND MANAGEMENT</Manager>
  <Company>UT MD ANDERSON CANCER CENTER</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Specialties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5</cp:revision>
  <cp:lastPrinted>2014-02-10T20:25:00Z</cp:lastPrinted>
  <dcterms:created xsi:type="dcterms:W3CDTF">2017-06-09T21:06:00Z</dcterms:created>
  <dcterms:modified xsi:type="dcterms:W3CDTF">2022-10-06T17:59:00Z</dcterms:modified>
</cp:coreProperties>
</file>