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Cs w:val="20"/>
        </w:rPr>
        <w:id w:val="-1611353512"/>
        <w:docPartObj>
          <w:docPartGallery w:val="Cover Pages"/>
          <w:docPartUnique/>
        </w:docPartObj>
      </w:sdtPr>
      <w:sdtEndPr>
        <w:rPr>
          <w:b/>
          <w:sz w:val="20"/>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255C1A" w:rsidRPr="00353FF9" w:rsidTr="00717FBA">
            <w:trPr>
              <w:trHeight w:val="835"/>
            </w:trPr>
            <w:tc>
              <w:tcPr>
                <w:tcW w:w="6625" w:type="dxa"/>
              </w:tcPr>
              <w:p w:rsidR="00255C1A" w:rsidRPr="00353FF9" w:rsidRDefault="00A46F01" w:rsidP="00353FF9">
                <w:pPr>
                  <w:tabs>
                    <w:tab w:val="center" w:pos="4680"/>
                    <w:tab w:val="right" w:pos="9360"/>
                  </w:tabs>
                </w:pPr>
                <w:r>
                  <w:rPr>
                    <w:noProof/>
                    <w:sz w:val="144"/>
                  </w:rPr>
                  <w:drawing>
                    <wp:inline distT="0" distB="0" distL="0" distR="0" wp14:anchorId="6290A99A" wp14:editId="62C75ABA">
                      <wp:extent cx="3995928" cy="740664"/>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XXHorizontal-OrangeGray-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95928" cy="740664"/>
                              </a:xfrm>
                              <a:prstGeom prst="rect">
                                <a:avLst/>
                              </a:prstGeom>
                            </pic:spPr>
                          </pic:pic>
                        </a:graphicData>
                      </a:graphic>
                    </wp:inline>
                  </w:drawing>
                </w:r>
              </w:p>
            </w:tc>
            <w:tc>
              <w:tcPr>
                <w:tcW w:w="1655" w:type="dxa"/>
              </w:tcPr>
              <w:p w:rsidR="00255C1A" w:rsidRPr="00353FF9" w:rsidRDefault="00255C1A"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D2B53A"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A46F01" w:rsidRPr="00A46F01" w:rsidRDefault="00A46F01" w:rsidP="00A46F01">
                <w:pPr>
                  <w:widowControl w:val="0"/>
                  <w:tabs>
                    <w:tab w:val="center" w:pos="4680"/>
                    <w:tab w:val="right" w:pos="9360"/>
                  </w:tabs>
                  <w:jc w:val="left"/>
                  <w:rPr>
                    <w:rFonts w:ascii="MrsEaves" w:hAnsi="MrsEaves"/>
                    <w:b/>
                    <w:bCs/>
                    <w:iCs/>
                    <w:color w:val="44546A" w:themeColor="text2"/>
                    <w:sz w:val="18"/>
                    <w:szCs w:val="18"/>
                  </w:rPr>
                </w:pPr>
                <w:r w:rsidRPr="00A46F01">
                  <w:rPr>
                    <w:rFonts w:ascii="MrsEaves" w:hAnsi="MrsEaves"/>
                    <w:b/>
                    <w:bCs/>
                    <w:iCs/>
                    <w:color w:val="44546A" w:themeColor="text2"/>
                    <w:sz w:val="18"/>
                    <w:szCs w:val="18"/>
                  </w:rPr>
                  <w:t>Office of Facilities Planning and Engineering</w:t>
                </w:r>
              </w:p>
              <w:p w:rsidR="00A46F01" w:rsidRPr="00A46F01" w:rsidRDefault="00A46F01" w:rsidP="00A46F01">
                <w:pPr>
                  <w:widowControl w:val="0"/>
                  <w:tabs>
                    <w:tab w:val="center" w:pos="4680"/>
                    <w:tab w:val="right" w:pos="9360"/>
                  </w:tabs>
                  <w:ind w:right="-89"/>
                  <w:jc w:val="left"/>
                  <w:rPr>
                    <w:rFonts w:ascii="MrsEaves" w:hAnsi="MrsEaves"/>
                    <w:bCs/>
                    <w:iCs/>
                    <w:color w:val="000000" w:themeColor="text1"/>
                    <w:sz w:val="16"/>
                    <w:szCs w:val="16"/>
                  </w:rPr>
                </w:pPr>
                <w:r w:rsidRPr="00A46F01">
                  <w:rPr>
                    <w:rFonts w:ascii="MrsEaves" w:hAnsi="MrsEaves"/>
                    <w:bCs/>
                    <w:iCs/>
                    <w:color w:val="000000" w:themeColor="text1"/>
                    <w:sz w:val="16"/>
                    <w:szCs w:val="16"/>
                  </w:rPr>
                  <w:t>7000 Fannin St., Suite 830</w:t>
                </w:r>
              </w:p>
              <w:p w:rsidR="00A46F01" w:rsidRPr="00A46F01" w:rsidRDefault="00A46F01" w:rsidP="00A46F01">
                <w:pPr>
                  <w:widowControl w:val="0"/>
                  <w:tabs>
                    <w:tab w:val="center" w:pos="4680"/>
                    <w:tab w:val="right" w:pos="9360"/>
                  </w:tabs>
                  <w:jc w:val="left"/>
                  <w:rPr>
                    <w:rFonts w:ascii="MrsEaves" w:hAnsi="MrsEaves"/>
                    <w:bCs/>
                    <w:iCs/>
                    <w:color w:val="000000" w:themeColor="text1"/>
                    <w:sz w:val="16"/>
                    <w:szCs w:val="16"/>
                  </w:rPr>
                </w:pPr>
                <w:r w:rsidRPr="00A46F01">
                  <w:rPr>
                    <w:rFonts w:ascii="MrsEaves" w:hAnsi="MrsEaves"/>
                    <w:bCs/>
                    <w:iCs/>
                    <w:color w:val="000000" w:themeColor="text1"/>
                    <w:sz w:val="16"/>
                    <w:szCs w:val="16"/>
                  </w:rPr>
                  <w:t>Houston, Texas 77030</w:t>
                </w:r>
              </w:p>
              <w:p w:rsidR="00255C1A" w:rsidRPr="00353FF9" w:rsidRDefault="00A46F01" w:rsidP="00A46F01">
                <w:pPr>
                  <w:tabs>
                    <w:tab w:val="center" w:pos="4680"/>
                    <w:tab w:val="right" w:pos="9360"/>
                  </w:tabs>
                  <w:rPr>
                    <w:smallCaps/>
                    <w:color w:val="DF6427"/>
                    <w:sz w:val="14"/>
                    <w:szCs w:val="14"/>
                  </w:rPr>
                </w:pPr>
                <w:r w:rsidRPr="00A46F01">
                  <w:rPr>
                    <w:rFonts w:ascii="Mrs Eaves OT Bold" w:eastAsia="Times New Roman" w:hAnsi="Mrs Eaves OT Bold" w:cs="Times New Roman"/>
                    <w:bCs/>
                    <w:iCs/>
                    <w:smallCaps/>
                    <w:color w:val="44546A" w:themeColor="text2"/>
                    <w:sz w:val="18"/>
                    <w:szCs w:val="18"/>
                  </w:rPr>
                  <w:t>www.uth.edu</w:t>
                </w:r>
              </w:p>
            </w:tc>
          </w:tr>
        </w:tbl>
        <w:p w:rsidR="00255C1A" w:rsidRDefault="00255C1A">
          <w:pPr>
            <w:rPr>
              <w:rFonts w:ascii="Times New Roman" w:hAnsi="Times New Roman"/>
            </w:rPr>
          </w:pPr>
        </w:p>
        <w:p w:rsidR="00255C1A" w:rsidRDefault="00255C1A" w:rsidP="00F05665">
          <w:pPr>
            <w:tabs>
              <w:tab w:val="left" w:pos="7685"/>
            </w:tabs>
          </w:pPr>
        </w:p>
        <w:p w:rsidR="00255C1A" w:rsidRDefault="00255C1A" w:rsidP="00F05665">
          <w:pPr>
            <w:tabs>
              <w:tab w:val="left" w:pos="7685"/>
            </w:tabs>
          </w:pPr>
        </w:p>
        <w:p w:rsidR="00255C1A" w:rsidRDefault="00A46F01" w:rsidP="009E6D1F">
          <w:pPr>
            <w:widowControl w:val="0"/>
            <w:spacing w:before="120"/>
            <w:jc w:val="center"/>
            <w:rPr>
              <w:rFonts w:cs="Arial"/>
              <w:b/>
              <w:i/>
              <w:color w:val="800000"/>
              <w:sz w:val="36"/>
            </w:rPr>
          </w:pPr>
          <w:r>
            <w:rPr>
              <w:rFonts w:cs="Arial"/>
              <w:b/>
              <w:i/>
              <w:color w:val="800000"/>
              <w:sz w:val="36"/>
            </w:rPr>
            <w:t>UTH</w:t>
          </w:r>
          <w:r w:rsidR="00391CB5">
            <w:rPr>
              <w:rFonts w:cs="Arial"/>
              <w:b/>
              <w:i/>
              <w:color w:val="800000"/>
              <w:sz w:val="36"/>
            </w:rPr>
            <w:t xml:space="preserve">ealth </w:t>
          </w:r>
          <w:r>
            <w:rPr>
              <w:rFonts w:cs="Arial"/>
              <w:b/>
              <w:i/>
              <w:color w:val="800000"/>
              <w:sz w:val="36"/>
            </w:rPr>
            <w:t>FPE</w:t>
          </w:r>
          <w:r w:rsidR="00255C1A">
            <w:rPr>
              <w:rFonts w:cs="Arial"/>
              <w:b/>
              <w:i/>
              <w:color w:val="800000"/>
              <w:sz w:val="36"/>
            </w:rPr>
            <w:t xml:space="preserve"> Standard Specification</w:t>
          </w:r>
        </w:p>
        <w:p w:rsidR="00255C1A" w:rsidRDefault="00255C1A" w:rsidP="009E6D1F">
          <w:pPr>
            <w:widowControl w:val="0"/>
            <w:jc w:val="center"/>
            <w:rPr>
              <w:rFonts w:cs="Arial"/>
              <w:b/>
              <w:color w:val="800000"/>
              <w:sz w:val="24"/>
              <w:szCs w:val="24"/>
            </w:rPr>
          </w:pPr>
        </w:p>
        <w:p w:rsidR="00255C1A" w:rsidRDefault="00255C1A"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2 05 33</w:t>
          </w:r>
          <w:bookmarkStart w:id="0" w:name="_GoBack"/>
          <w:bookmarkEnd w:id="0"/>
        </w:p>
        <w:p w:rsidR="00255C1A" w:rsidRPr="009E6D1F" w:rsidRDefault="00255C1A" w:rsidP="009E6D1F">
          <w:pPr>
            <w:widowControl w:val="0"/>
            <w:jc w:val="center"/>
            <w:rPr>
              <w:rFonts w:cs="Arial"/>
              <w:b/>
              <w:color w:val="800000"/>
              <w:sz w:val="24"/>
              <w:szCs w:val="24"/>
            </w:rPr>
          </w:pPr>
        </w:p>
        <w:p w:rsidR="00255C1A" w:rsidRDefault="00255C1A" w:rsidP="009E6D1F">
          <w:pPr>
            <w:tabs>
              <w:tab w:val="center" w:pos="4680"/>
            </w:tabs>
            <w:suppressAutoHyphens/>
            <w:jc w:val="center"/>
            <w:rPr>
              <w:rFonts w:cs="Arial"/>
              <w:b/>
              <w:color w:val="800000"/>
              <w:sz w:val="24"/>
              <w:szCs w:val="24"/>
            </w:rPr>
          </w:pPr>
          <w:r>
            <w:rPr>
              <w:rFonts w:cs="Arial"/>
              <w:b/>
              <w:color w:val="800000"/>
              <w:sz w:val="24"/>
              <w:szCs w:val="24"/>
            </w:rPr>
            <w:t>HEAT TRACING FOR PLUMBING PIPING</w:t>
          </w:r>
        </w:p>
        <w:p w:rsidR="00255C1A" w:rsidRPr="009E6D1F" w:rsidRDefault="00255C1A" w:rsidP="009E6D1F">
          <w:pPr>
            <w:tabs>
              <w:tab w:val="center" w:pos="4680"/>
            </w:tabs>
            <w:suppressAutoHyphens/>
            <w:jc w:val="center"/>
            <w:rPr>
              <w:rFonts w:cs="Arial"/>
              <w:b/>
              <w:color w:val="FF0000"/>
              <w:sz w:val="24"/>
              <w:szCs w:val="24"/>
            </w:rPr>
          </w:pPr>
        </w:p>
        <w:p w:rsidR="00255C1A" w:rsidRDefault="00255C1A"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255C1A" w:rsidRDefault="00255C1A" w:rsidP="009E6D1F">
          <w:pPr>
            <w:spacing w:line="240" w:lineRule="atLeast"/>
            <w:ind w:right="-288"/>
            <w:rPr>
              <w:rFonts w:cs="Arial"/>
              <w:i/>
              <w:sz w:val="20"/>
            </w:rPr>
          </w:pPr>
        </w:p>
        <w:p w:rsidR="00255C1A" w:rsidRDefault="00255C1A" w:rsidP="009E6D1F">
          <w:pPr>
            <w:spacing w:line="240" w:lineRule="atLeast"/>
            <w:rPr>
              <w:rFonts w:cs="Arial"/>
              <w:i/>
              <w:sz w:val="20"/>
            </w:rPr>
          </w:pPr>
          <w:r>
            <w:rPr>
              <w:rFonts w:cs="Arial"/>
              <w:i/>
              <w:sz w:val="20"/>
            </w:rPr>
            <w:t xml:space="preserve">To receive current updates of standard specification </w:t>
          </w:r>
          <w:r w:rsidRPr="00784EC4">
            <w:rPr>
              <w:rFonts w:cs="Arial"/>
              <w:i/>
              <w:sz w:val="20"/>
            </w:rPr>
            <w:t>Sections</w:t>
          </w:r>
          <w:r>
            <w:rPr>
              <w:rFonts w:cs="Arial"/>
              <w:i/>
              <w:sz w:val="20"/>
            </w:rPr>
            <w:t xml:space="preserve">, please go to the web site at: </w:t>
          </w:r>
          <w:r>
            <w:rPr>
              <w:rFonts w:cs="Arial"/>
              <w:sz w:val="20"/>
            </w:rPr>
            <w:t>http://</w:t>
          </w:r>
          <w:r>
            <w:rPr>
              <w:rFonts w:cs="Arial"/>
              <w:color w:val="0000FF"/>
              <w:sz w:val="20"/>
              <w:u w:val="single"/>
            </w:rPr>
            <w:t>www.utsystem.edu/fpc</w:t>
          </w:r>
          <w:r>
            <w:rPr>
              <w:rFonts w:cs="Arial"/>
              <w:i/>
              <w:sz w:val="20"/>
            </w:rPr>
            <w:t xml:space="preserve"> or contact the Office of Facilities Planning and Construction by phone at (512) 499-4600 or by fax at (512) 499-4604.</w:t>
          </w:r>
        </w:p>
        <w:p w:rsidR="00255C1A" w:rsidRDefault="00255C1A" w:rsidP="009E6D1F">
          <w:pPr>
            <w:tabs>
              <w:tab w:val="left" w:pos="7685"/>
            </w:tabs>
            <w:rPr>
              <w:rFonts w:cs="Arial"/>
              <w:i/>
              <w:sz w:val="20"/>
            </w:rPr>
          </w:pPr>
        </w:p>
        <w:p w:rsidR="00255C1A" w:rsidRDefault="00255C1A" w:rsidP="009E6D1F">
          <w:pPr>
            <w:tabs>
              <w:tab w:val="left" w:pos="7685"/>
            </w:tabs>
          </w:pPr>
          <w:r>
            <w:rPr>
              <w:rFonts w:cs="Arial"/>
              <w:i/>
              <w:sz w:val="20"/>
            </w:rPr>
            <w:t xml:space="preserve">The issuance and revision history of this </w:t>
          </w:r>
          <w:r w:rsidRPr="00784EC4">
            <w:rPr>
              <w:rFonts w:cs="Arial"/>
              <w:i/>
              <w:sz w:val="20"/>
            </w:rPr>
            <w:t>Section</w:t>
          </w:r>
          <w:r w:rsidRPr="00B04E1C">
            <w:rPr>
              <w:rFonts w:cs="Arial"/>
              <w:i/>
              <w:sz w:val="20"/>
            </w:rPr>
            <w:t xml:space="preserve"> </w:t>
          </w:r>
          <w:r>
            <w:rPr>
              <w:rFonts w:cs="Arial"/>
              <w:i/>
              <w:sz w:val="20"/>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255C1A" w:rsidRPr="009E6D1F" w:rsidTr="00717FBA">
            <w:trPr>
              <w:cantSplit/>
              <w:jc w:val="right"/>
            </w:trPr>
            <w:tc>
              <w:tcPr>
                <w:tcW w:w="1454" w:type="dxa"/>
                <w:tcBorders>
                  <w:top w:val="double" w:sz="6" w:space="0" w:color="auto"/>
                  <w:left w:val="double" w:sz="6" w:space="0" w:color="auto"/>
                  <w:bottom w:val="double" w:sz="6" w:space="0" w:color="auto"/>
                </w:tcBorders>
              </w:tcPr>
              <w:p w:rsidR="00255C1A" w:rsidRPr="009E6D1F" w:rsidRDefault="00255C1A" w:rsidP="009E6D1F">
                <w:pPr>
                  <w:widowControl w:val="0"/>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255C1A" w:rsidRPr="009E6D1F" w:rsidRDefault="00255C1A" w:rsidP="009E6D1F">
                <w:pPr>
                  <w:widowControl w:val="0"/>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255C1A" w:rsidRPr="009E6D1F" w:rsidRDefault="00255C1A" w:rsidP="009E6D1F">
                <w:pPr>
                  <w:widowControl w:val="0"/>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255C1A" w:rsidRPr="009E6D1F" w:rsidRDefault="00255C1A" w:rsidP="009E6D1F">
                <w:pPr>
                  <w:widowControl w:val="0"/>
                  <w:jc w:val="center"/>
                  <w:rPr>
                    <w:rFonts w:ascii="Times New Roman" w:hAnsi="Times New Roman"/>
                    <w:sz w:val="24"/>
                    <w:szCs w:val="24"/>
                  </w:rPr>
                </w:pPr>
                <w:r w:rsidRPr="009E6D1F">
                  <w:rPr>
                    <w:rFonts w:ascii="Times New Roman" w:hAnsi="Times New Roman"/>
                    <w:sz w:val="24"/>
                    <w:szCs w:val="24"/>
                  </w:rPr>
                  <w:t>Remarks</w:t>
                </w:r>
              </w:p>
            </w:tc>
          </w:tr>
          <w:tr w:rsidR="00255C1A" w:rsidRPr="009E6D1F" w:rsidTr="00717FBA">
            <w:trPr>
              <w:cantSplit/>
              <w:jc w:val="right"/>
            </w:trPr>
            <w:tc>
              <w:tcPr>
                <w:tcW w:w="1454" w:type="dxa"/>
                <w:tcBorders>
                  <w:left w:val="double" w:sz="6" w:space="0" w:color="auto"/>
                </w:tcBorders>
              </w:tcPr>
              <w:p w:rsidR="00255C1A" w:rsidRPr="009E6D1F" w:rsidRDefault="00255C1A" w:rsidP="00255C1A">
                <w:pPr>
                  <w:widowControl w:val="0"/>
                  <w:jc w:val="center"/>
                  <w:rPr>
                    <w:rFonts w:ascii="Times New Roman" w:hAnsi="Times New Roman"/>
                    <w:sz w:val="24"/>
                    <w:szCs w:val="24"/>
                  </w:rPr>
                </w:pPr>
                <w:r>
                  <w:rPr>
                    <w:rFonts w:ascii="Times New Roman" w:hAnsi="Times New Roman"/>
                    <w:sz w:val="24"/>
                    <w:szCs w:val="24"/>
                  </w:rPr>
                  <w:t>1</w:t>
                </w:r>
              </w:p>
            </w:tc>
            <w:tc>
              <w:tcPr>
                <w:tcW w:w="2088" w:type="dxa"/>
                <w:tcBorders>
                  <w:left w:val="single" w:sz="6" w:space="0" w:color="auto"/>
                </w:tcBorders>
              </w:tcPr>
              <w:p w:rsidR="00255C1A" w:rsidRPr="009E6D1F" w:rsidRDefault="00255C1A" w:rsidP="00255C1A">
                <w:pPr>
                  <w:widowControl w:val="0"/>
                  <w:jc w:val="center"/>
                  <w:rPr>
                    <w:rFonts w:ascii="Times New Roman" w:hAnsi="Times New Roman"/>
                    <w:sz w:val="24"/>
                    <w:szCs w:val="24"/>
                  </w:rPr>
                </w:pPr>
                <w:r w:rsidRPr="009E6D1F">
                  <w:rPr>
                    <w:rFonts w:ascii="Times New Roman" w:hAnsi="Times New Roman"/>
                    <w:sz w:val="24"/>
                    <w:szCs w:val="24"/>
                  </w:rPr>
                  <w:t>Jun</w:t>
                </w:r>
                <w:r>
                  <w:rPr>
                    <w:rFonts w:ascii="Times New Roman" w:hAnsi="Times New Roman"/>
                    <w:sz w:val="24"/>
                    <w:szCs w:val="24"/>
                  </w:rPr>
                  <w:t>e</w:t>
                </w:r>
                <w:r w:rsidRPr="009E6D1F">
                  <w:rPr>
                    <w:rFonts w:ascii="Times New Roman" w:hAnsi="Times New Roman"/>
                    <w:sz w:val="24"/>
                    <w:szCs w:val="24"/>
                  </w:rPr>
                  <w:t xml:space="preserve"> 2017</w:t>
                </w:r>
              </w:p>
            </w:tc>
            <w:tc>
              <w:tcPr>
                <w:tcW w:w="1368" w:type="dxa"/>
                <w:tcBorders>
                  <w:left w:val="single" w:sz="6" w:space="0" w:color="auto"/>
                </w:tcBorders>
              </w:tcPr>
              <w:p w:rsidR="00255C1A" w:rsidRPr="009E6D1F" w:rsidRDefault="00255C1A" w:rsidP="00255C1A">
                <w:pPr>
                  <w:widowControl w:val="0"/>
                  <w:jc w:val="center"/>
                  <w:rPr>
                    <w:rFonts w:ascii="Times New Roman" w:hAnsi="Times New Roman"/>
                    <w:sz w:val="24"/>
                    <w:szCs w:val="24"/>
                  </w:rPr>
                </w:pPr>
                <w:r>
                  <w:rPr>
                    <w:rFonts w:ascii="Times New Roman" w:hAnsi="Times New Roman"/>
                    <w:sz w:val="24"/>
                    <w:szCs w:val="24"/>
                  </w:rPr>
                  <w:t>4</w:t>
                </w:r>
              </w:p>
            </w:tc>
            <w:tc>
              <w:tcPr>
                <w:tcW w:w="4733" w:type="dxa"/>
                <w:tcBorders>
                  <w:left w:val="single" w:sz="6" w:space="0" w:color="auto"/>
                  <w:right w:val="double" w:sz="6" w:space="0" w:color="auto"/>
                </w:tcBorders>
              </w:tcPr>
              <w:p w:rsidR="00255C1A" w:rsidRPr="009E6D1F" w:rsidRDefault="00255C1A" w:rsidP="00255C1A">
                <w:pPr>
                  <w:widowControl w:val="0"/>
                  <w:jc w:val="center"/>
                  <w:rPr>
                    <w:rFonts w:ascii="Times New Roman" w:hAnsi="Times New Roman"/>
                    <w:sz w:val="24"/>
                    <w:szCs w:val="24"/>
                  </w:rPr>
                </w:pPr>
                <w:r>
                  <w:rPr>
                    <w:rFonts w:ascii="Times New Roman" w:hAnsi="Times New Roman"/>
                    <w:sz w:val="24"/>
                    <w:szCs w:val="24"/>
                  </w:rPr>
                  <w:t xml:space="preserve">New </w:t>
                </w:r>
                <w:r w:rsidRPr="009E6D1F">
                  <w:rPr>
                    <w:rFonts w:ascii="Times New Roman" w:hAnsi="Times New Roman"/>
                    <w:sz w:val="24"/>
                    <w:szCs w:val="24"/>
                  </w:rPr>
                  <w:t>Spec</w:t>
                </w:r>
                <w:r>
                  <w:rPr>
                    <w:rFonts w:ascii="Times New Roman" w:hAnsi="Times New Roman"/>
                    <w:sz w:val="24"/>
                    <w:szCs w:val="24"/>
                  </w:rPr>
                  <w:t>ification</w:t>
                </w:r>
                <w:r w:rsidRPr="009E6D1F">
                  <w:rPr>
                    <w:rFonts w:ascii="Times New Roman" w:hAnsi="Times New Roman"/>
                    <w:sz w:val="24"/>
                    <w:szCs w:val="24"/>
                  </w:rPr>
                  <w:t xml:space="preserve"> </w:t>
                </w:r>
                <w:r>
                  <w:rPr>
                    <w:rFonts w:ascii="Times New Roman" w:hAnsi="Times New Roman"/>
                    <w:sz w:val="24"/>
                    <w:szCs w:val="24"/>
                  </w:rPr>
                  <w:t>secti</w:t>
                </w:r>
                <w:r w:rsidR="00A46F01">
                  <w:rPr>
                    <w:rFonts w:ascii="Times New Roman" w:hAnsi="Times New Roman"/>
                    <w:sz w:val="24"/>
                    <w:szCs w:val="24"/>
                  </w:rPr>
                  <w:t>on</w:t>
                </w:r>
              </w:p>
            </w:tc>
          </w:tr>
          <w:tr w:rsidR="00255C1A" w:rsidRPr="009E6D1F" w:rsidTr="00717FBA">
            <w:trPr>
              <w:cantSplit/>
              <w:jc w:val="right"/>
            </w:trPr>
            <w:tc>
              <w:tcPr>
                <w:tcW w:w="1454" w:type="dxa"/>
                <w:tcBorders>
                  <w:top w:val="single" w:sz="6" w:space="0" w:color="auto"/>
                  <w:left w:val="double" w:sz="6" w:space="0" w:color="auto"/>
                  <w:bottom w:val="single" w:sz="6" w:space="0" w:color="auto"/>
                </w:tcBorders>
              </w:tcPr>
              <w:p w:rsidR="00255C1A" w:rsidRPr="009E6D1F" w:rsidRDefault="00255C1A" w:rsidP="00255C1A">
                <w:pPr>
                  <w:widowControl w:val="0"/>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255C1A" w:rsidRPr="009E6D1F" w:rsidRDefault="00255C1A" w:rsidP="00255C1A">
                <w:pPr>
                  <w:widowControl w:val="0"/>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255C1A" w:rsidRPr="009E6D1F" w:rsidRDefault="00255C1A" w:rsidP="00255C1A">
                <w:pPr>
                  <w:widowControl w:val="0"/>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255C1A" w:rsidRPr="009E6D1F" w:rsidRDefault="00255C1A" w:rsidP="00255C1A">
                <w:pPr>
                  <w:widowControl w:val="0"/>
                  <w:jc w:val="center"/>
                  <w:rPr>
                    <w:rFonts w:ascii="Times New Roman" w:hAnsi="Times New Roman"/>
                    <w:sz w:val="24"/>
                    <w:szCs w:val="24"/>
                  </w:rPr>
                </w:pPr>
              </w:p>
            </w:tc>
          </w:tr>
          <w:tr w:rsidR="00255C1A" w:rsidRPr="009E6D1F" w:rsidTr="00717FBA">
            <w:trPr>
              <w:cantSplit/>
              <w:jc w:val="right"/>
            </w:trPr>
            <w:tc>
              <w:tcPr>
                <w:tcW w:w="1454" w:type="dxa"/>
                <w:tcBorders>
                  <w:top w:val="single" w:sz="6" w:space="0" w:color="auto"/>
                  <w:left w:val="double" w:sz="6" w:space="0" w:color="auto"/>
                  <w:bottom w:val="single" w:sz="6" w:space="0" w:color="auto"/>
                </w:tcBorders>
              </w:tcPr>
              <w:p w:rsidR="00255C1A" w:rsidRPr="009E6D1F" w:rsidRDefault="00255C1A" w:rsidP="00255C1A">
                <w:pPr>
                  <w:widowControl w:val="0"/>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255C1A" w:rsidRPr="009E6D1F" w:rsidRDefault="00255C1A" w:rsidP="00255C1A">
                <w:pPr>
                  <w:widowControl w:val="0"/>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255C1A" w:rsidRPr="009E6D1F" w:rsidRDefault="00255C1A" w:rsidP="00255C1A">
                <w:pPr>
                  <w:widowControl w:val="0"/>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255C1A" w:rsidRPr="009E6D1F" w:rsidRDefault="00255C1A" w:rsidP="00255C1A">
                <w:pPr>
                  <w:widowControl w:val="0"/>
                  <w:jc w:val="center"/>
                  <w:rPr>
                    <w:rFonts w:ascii="Times New Roman" w:hAnsi="Times New Roman"/>
                    <w:sz w:val="24"/>
                    <w:szCs w:val="24"/>
                  </w:rPr>
                </w:pPr>
              </w:p>
            </w:tc>
          </w:tr>
          <w:tr w:rsidR="00255C1A" w:rsidRPr="009E6D1F" w:rsidTr="00717FBA">
            <w:trPr>
              <w:cantSplit/>
              <w:jc w:val="right"/>
            </w:trPr>
            <w:tc>
              <w:tcPr>
                <w:tcW w:w="1454" w:type="dxa"/>
                <w:tcBorders>
                  <w:top w:val="single" w:sz="6" w:space="0" w:color="auto"/>
                  <w:left w:val="double" w:sz="6" w:space="0" w:color="auto"/>
                  <w:bottom w:val="double" w:sz="6" w:space="0" w:color="auto"/>
                </w:tcBorders>
              </w:tcPr>
              <w:p w:rsidR="00255C1A" w:rsidRPr="009E6D1F" w:rsidRDefault="00255C1A" w:rsidP="00255C1A">
                <w:pPr>
                  <w:widowControl w:val="0"/>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255C1A" w:rsidRPr="009E6D1F" w:rsidRDefault="00255C1A" w:rsidP="00255C1A">
                <w:pPr>
                  <w:widowControl w:val="0"/>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255C1A" w:rsidRPr="009E6D1F" w:rsidRDefault="00255C1A" w:rsidP="00255C1A">
                <w:pPr>
                  <w:widowControl w:val="0"/>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255C1A" w:rsidRPr="009E6D1F" w:rsidRDefault="00255C1A" w:rsidP="00255C1A">
                <w:pPr>
                  <w:widowControl w:val="0"/>
                  <w:jc w:val="center"/>
                  <w:rPr>
                    <w:rFonts w:ascii="Times New Roman" w:hAnsi="Times New Roman"/>
                    <w:sz w:val="24"/>
                    <w:szCs w:val="24"/>
                  </w:rPr>
                </w:pPr>
              </w:p>
            </w:tc>
          </w:tr>
        </w:tbl>
        <w:p w:rsidR="00255C1A" w:rsidRDefault="00255C1A" w:rsidP="00F05665">
          <w:pPr>
            <w:tabs>
              <w:tab w:val="left" w:pos="7685"/>
            </w:tabs>
          </w:pPr>
        </w:p>
        <w:p w:rsidR="00255C1A" w:rsidRDefault="00255C1A" w:rsidP="00F05665">
          <w:pPr>
            <w:tabs>
              <w:tab w:val="left" w:pos="7685"/>
            </w:tabs>
          </w:pPr>
        </w:p>
        <w:p w:rsidR="00255C1A" w:rsidRDefault="00255C1A" w:rsidP="00F05665">
          <w:pPr>
            <w:tabs>
              <w:tab w:val="left" w:pos="7685"/>
            </w:tabs>
          </w:pPr>
        </w:p>
        <w:p w:rsidR="00255C1A" w:rsidRDefault="00255C1A" w:rsidP="00F05665">
          <w:pPr>
            <w:tabs>
              <w:tab w:val="left" w:pos="7685"/>
            </w:tabs>
          </w:pPr>
        </w:p>
        <w:p w:rsidR="00255C1A" w:rsidRDefault="00255C1A" w:rsidP="00F05665">
          <w:pPr>
            <w:tabs>
              <w:tab w:val="left" w:pos="7685"/>
            </w:tabs>
          </w:pPr>
        </w:p>
        <w:p w:rsidR="00255C1A" w:rsidRDefault="00255C1A" w:rsidP="00F05665">
          <w:pPr>
            <w:tabs>
              <w:tab w:val="left" w:pos="7685"/>
            </w:tabs>
          </w:pPr>
        </w:p>
        <w:p w:rsidR="00255C1A" w:rsidRDefault="00255C1A" w:rsidP="00F05665">
          <w:pPr>
            <w:tabs>
              <w:tab w:val="left" w:pos="7685"/>
            </w:tabs>
          </w:pPr>
        </w:p>
        <w:p w:rsidR="00255C1A" w:rsidRDefault="00255C1A" w:rsidP="00F05665">
          <w:pPr>
            <w:tabs>
              <w:tab w:val="left" w:pos="7685"/>
            </w:tabs>
          </w:pPr>
        </w:p>
        <w:p w:rsidR="00255C1A" w:rsidRDefault="00255C1A" w:rsidP="00F05665">
          <w:pPr>
            <w:tabs>
              <w:tab w:val="left" w:pos="7685"/>
            </w:tabs>
          </w:pPr>
        </w:p>
        <w:p w:rsidR="00255C1A" w:rsidRDefault="00255C1A" w:rsidP="00F05665">
          <w:pPr>
            <w:tabs>
              <w:tab w:val="left" w:pos="7685"/>
            </w:tabs>
          </w:pPr>
        </w:p>
        <w:p w:rsidR="00255C1A" w:rsidRPr="002D5E9B" w:rsidRDefault="00255C1A"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255C1A" w:rsidRPr="002D5E9B" w:rsidRDefault="00255C1A"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255C1A" w:rsidRPr="002D5E9B" w:rsidRDefault="00255C1A"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255C1A" w:rsidRPr="002D5E9B" w:rsidRDefault="00255C1A"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255C1A" w:rsidRPr="00F05665" w:rsidRDefault="00255C1A"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255C1A" w:rsidRDefault="00255C1A">
          <w:pPr>
            <w:jc w:val="left"/>
            <w:rPr>
              <w:b/>
              <w:sz w:val="20"/>
            </w:rPr>
          </w:pPr>
          <w:r>
            <w:rPr>
              <w:b/>
              <w:sz w:val="20"/>
            </w:rPr>
            <w:br w:type="page"/>
          </w:r>
        </w:p>
      </w:sdtContent>
    </w:sdt>
    <w:p w:rsidR="00127F67" w:rsidRPr="00B42472" w:rsidRDefault="00127F67" w:rsidP="002F65E9">
      <w:pPr>
        <w:spacing w:before="200" w:after="200"/>
        <w:rPr>
          <w:rFonts w:cs="Arial"/>
          <w:b/>
          <w:sz w:val="20"/>
        </w:rPr>
      </w:pPr>
      <w:r w:rsidRPr="00B42472">
        <w:rPr>
          <w:b/>
          <w:sz w:val="20"/>
        </w:rPr>
        <w:lastRenderedPageBreak/>
        <w:t>SECTION 22 05 33 – HEAT TRACING FOR PLUMBING PIPING</w:t>
      </w:r>
      <w:r w:rsidRPr="00B42472">
        <w:rPr>
          <w:b/>
          <w:sz w:val="20"/>
        </w:rPr>
        <w:tab/>
      </w:r>
      <w:r w:rsidR="00357DB5" w:rsidRPr="00B42472">
        <w:rPr>
          <w:b/>
          <w:sz w:val="20"/>
        </w:rPr>
        <w:tab/>
      </w:r>
    </w:p>
    <w:p w:rsidR="00AA4857" w:rsidRPr="00B42472" w:rsidRDefault="00AA4857" w:rsidP="002F65E9">
      <w:pPr>
        <w:pStyle w:val="PRT"/>
        <w:spacing w:before="200" w:after="200"/>
        <w:ind w:hanging="540"/>
        <w:rPr>
          <w:b/>
          <w:sz w:val="20"/>
          <w:szCs w:val="20"/>
        </w:rPr>
      </w:pPr>
      <w:r w:rsidRPr="00B42472">
        <w:rPr>
          <w:b/>
          <w:sz w:val="20"/>
          <w:szCs w:val="20"/>
        </w:rPr>
        <w:t>GENERAL</w:t>
      </w:r>
    </w:p>
    <w:p w:rsidR="00C151B6" w:rsidRPr="008B6304" w:rsidRDefault="008B6304" w:rsidP="008B6304">
      <w:pPr>
        <w:pStyle w:val="ART"/>
        <w:rPr>
          <w:b/>
          <w:sz w:val="20"/>
        </w:rPr>
      </w:pPr>
      <w:r w:rsidRPr="008B6304">
        <w:rPr>
          <w:b/>
          <w:sz w:val="20"/>
        </w:rPr>
        <w:t>THE FOLLOWING SECTIONS ARE TO BE INCLUDED AS IF WRITTEN HEREIN:</w:t>
      </w:r>
    </w:p>
    <w:p w:rsidR="00C151B6" w:rsidRPr="00B42472" w:rsidRDefault="00FA399C" w:rsidP="00FA399C">
      <w:pPr>
        <w:pStyle w:val="PR1"/>
        <w:rPr>
          <w:rFonts w:cs="Arial"/>
          <w:spacing w:val="-3"/>
          <w:sz w:val="20"/>
        </w:rPr>
      </w:pPr>
      <w:r>
        <w:rPr>
          <w:rFonts w:cs="Arial"/>
          <w:spacing w:val="-3"/>
          <w:sz w:val="20"/>
        </w:rPr>
        <w:t>22</w:t>
      </w:r>
      <w:r w:rsidRPr="00FA399C">
        <w:rPr>
          <w:rFonts w:cs="Arial"/>
          <w:spacing w:val="-3"/>
          <w:sz w:val="20"/>
        </w:rPr>
        <w:t xml:space="preserve"> 00 00 </w:t>
      </w:r>
      <w:r>
        <w:rPr>
          <w:rFonts w:cs="Arial"/>
          <w:spacing w:val="-3"/>
          <w:sz w:val="20"/>
        </w:rPr>
        <w:t>–</w:t>
      </w:r>
      <w:r w:rsidR="000A623B">
        <w:rPr>
          <w:rFonts w:cs="Arial"/>
          <w:spacing w:val="-3"/>
          <w:sz w:val="20"/>
        </w:rPr>
        <w:t xml:space="preserve"> </w:t>
      </w:r>
      <w:r>
        <w:rPr>
          <w:rFonts w:cs="Arial"/>
          <w:spacing w:val="-3"/>
          <w:sz w:val="20"/>
        </w:rPr>
        <w:t xml:space="preserve">Basic </w:t>
      </w:r>
      <w:r w:rsidR="00551223">
        <w:rPr>
          <w:rFonts w:cs="Arial"/>
          <w:spacing w:val="-3"/>
          <w:sz w:val="20"/>
        </w:rPr>
        <w:t xml:space="preserve">Plumbing </w:t>
      </w:r>
      <w:r>
        <w:rPr>
          <w:rFonts w:cs="Arial"/>
          <w:spacing w:val="-3"/>
          <w:sz w:val="20"/>
        </w:rPr>
        <w:t>Requirements</w:t>
      </w:r>
    </w:p>
    <w:p w:rsidR="00C151B6" w:rsidRDefault="00FA399C" w:rsidP="00FA399C">
      <w:pPr>
        <w:pStyle w:val="PR1"/>
        <w:rPr>
          <w:rFonts w:cs="Arial"/>
          <w:sz w:val="20"/>
        </w:rPr>
      </w:pPr>
      <w:r>
        <w:rPr>
          <w:rFonts w:cs="Arial"/>
          <w:sz w:val="20"/>
        </w:rPr>
        <w:t>22 05 29 – Plumbing Supports &amp; Sleeves</w:t>
      </w:r>
    </w:p>
    <w:p w:rsidR="00FA399C" w:rsidRDefault="00FA399C" w:rsidP="00FA399C">
      <w:pPr>
        <w:pStyle w:val="PR1"/>
        <w:rPr>
          <w:rFonts w:cs="Arial"/>
          <w:sz w:val="20"/>
        </w:rPr>
      </w:pPr>
      <w:r>
        <w:rPr>
          <w:rFonts w:cs="Arial"/>
          <w:sz w:val="20"/>
        </w:rPr>
        <w:t xml:space="preserve">22 05 53 – </w:t>
      </w:r>
      <w:r w:rsidR="000A623B">
        <w:rPr>
          <w:rFonts w:cs="Arial"/>
          <w:sz w:val="20"/>
        </w:rPr>
        <w:t>Plumbing Identification</w:t>
      </w:r>
    </w:p>
    <w:p w:rsidR="00FA399C" w:rsidRPr="00B42472" w:rsidRDefault="00FA399C" w:rsidP="00FA399C">
      <w:pPr>
        <w:pStyle w:val="PR1"/>
        <w:rPr>
          <w:rFonts w:cs="Arial"/>
          <w:sz w:val="20"/>
        </w:rPr>
      </w:pPr>
      <w:r>
        <w:rPr>
          <w:rFonts w:cs="Arial"/>
          <w:sz w:val="20"/>
        </w:rPr>
        <w:t>22 07 19 – Plumbing Insulation</w:t>
      </w:r>
    </w:p>
    <w:p w:rsidR="00AA4857" w:rsidRPr="008B6304" w:rsidRDefault="00FA399C" w:rsidP="0091756A">
      <w:pPr>
        <w:pStyle w:val="ART"/>
        <w:rPr>
          <w:rFonts w:cs="Arial"/>
          <w:b/>
          <w:sz w:val="20"/>
          <w:szCs w:val="20"/>
        </w:rPr>
      </w:pPr>
      <w:r w:rsidRPr="008B6304">
        <w:rPr>
          <w:rFonts w:cs="Arial"/>
          <w:b/>
          <w:sz w:val="20"/>
          <w:szCs w:val="20"/>
        </w:rPr>
        <w:t>SECTION INCLUDES</w:t>
      </w:r>
    </w:p>
    <w:p w:rsidR="00AA4857" w:rsidRPr="00B42472" w:rsidRDefault="00FA399C" w:rsidP="0091756A">
      <w:pPr>
        <w:pStyle w:val="PR1"/>
        <w:rPr>
          <w:rFonts w:cs="Arial"/>
          <w:sz w:val="20"/>
        </w:rPr>
      </w:pPr>
      <w:r>
        <w:rPr>
          <w:rFonts w:cs="Arial"/>
          <w:sz w:val="20"/>
        </w:rPr>
        <w:t>Plumbing Piping Heat Tracing for Freeze Prevention</w:t>
      </w:r>
      <w:r w:rsidR="000A623B">
        <w:rPr>
          <w:rFonts w:cs="Arial"/>
          <w:sz w:val="20"/>
        </w:rPr>
        <w:t>.</w:t>
      </w:r>
      <w:r>
        <w:rPr>
          <w:rFonts w:cs="Arial"/>
          <w:sz w:val="20"/>
        </w:rPr>
        <w:t xml:space="preserve"> </w:t>
      </w:r>
    </w:p>
    <w:p w:rsidR="00AA4857" w:rsidRPr="008B6304" w:rsidRDefault="00FA399C" w:rsidP="00FA399C">
      <w:pPr>
        <w:pStyle w:val="ART"/>
        <w:rPr>
          <w:rFonts w:cs="Arial"/>
          <w:b/>
          <w:sz w:val="20"/>
          <w:szCs w:val="20"/>
        </w:rPr>
      </w:pPr>
      <w:r w:rsidRPr="008B6304">
        <w:rPr>
          <w:rFonts w:cs="Arial"/>
          <w:b/>
          <w:sz w:val="20"/>
          <w:szCs w:val="20"/>
        </w:rPr>
        <w:t>PRODUCTS FURNISHED BUT NOT INSTALLED UNDER THIS SECTION</w:t>
      </w:r>
    </w:p>
    <w:p w:rsidR="00AA4857" w:rsidRPr="00FA399C" w:rsidRDefault="00FA399C" w:rsidP="00FA399C">
      <w:pPr>
        <w:pStyle w:val="PR1"/>
        <w:rPr>
          <w:rFonts w:cs="Arial"/>
          <w:sz w:val="20"/>
        </w:rPr>
      </w:pPr>
      <w:r>
        <w:rPr>
          <w:rFonts w:cs="Arial"/>
          <w:sz w:val="20"/>
        </w:rPr>
        <w:t>Section 22 05 29 – Plumbing Supports and Sleeves: Placement of hangers and hanger inserts.</w:t>
      </w:r>
    </w:p>
    <w:p w:rsidR="00AA4857" w:rsidRPr="008B6304" w:rsidRDefault="00FA399C" w:rsidP="0091756A">
      <w:pPr>
        <w:pStyle w:val="ART"/>
        <w:rPr>
          <w:rFonts w:cs="Arial"/>
          <w:b/>
          <w:sz w:val="20"/>
          <w:szCs w:val="20"/>
        </w:rPr>
      </w:pPr>
      <w:r w:rsidRPr="008B6304">
        <w:rPr>
          <w:rFonts w:cs="Arial"/>
          <w:b/>
          <w:sz w:val="20"/>
          <w:szCs w:val="20"/>
        </w:rPr>
        <w:t>RELATED SECTIONS</w:t>
      </w:r>
    </w:p>
    <w:p w:rsidR="00AA4857" w:rsidRDefault="00CB2256" w:rsidP="0091756A">
      <w:pPr>
        <w:pStyle w:val="PR1"/>
        <w:rPr>
          <w:rFonts w:cs="Arial"/>
          <w:sz w:val="20"/>
        </w:rPr>
      </w:pPr>
      <w:r>
        <w:rPr>
          <w:rFonts w:cs="Arial"/>
          <w:sz w:val="20"/>
        </w:rPr>
        <w:t>Section 26 00 00 – Basic Electrical Requirements</w:t>
      </w:r>
    </w:p>
    <w:p w:rsidR="00CB2256" w:rsidRDefault="00CB2256" w:rsidP="0091756A">
      <w:pPr>
        <w:pStyle w:val="PR1"/>
        <w:rPr>
          <w:rFonts w:cs="Arial"/>
          <w:sz w:val="20"/>
        </w:rPr>
      </w:pPr>
      <w:r>
        <w:rPr>
          <w:rFonts w:cs="Arial"/>
          <w:sz w:val="20"/>
        </w:rPr>
        <w:t>Section 26 05 19 – Insulated Conductors</w:t>
      </w:r>
    </w:p>
    <w:p w:rsidR="00CB2256" w:rsidRPr="00B42472" w:rsidRDefault="00CB2256" w:rsidP="0091756A">
      <w:pPr>
        <w:pStyle w:val="PR1"/>
        <w:rPr>
          <w:rFonts w:cs="Arial"/>
          <w:sz w:val="20"/>
        </w:rPr>
      </w:pPr>
      <w:r>
        <w:rPr>
          <w:rFonts w:cs="Arial"/>
          <w:sz w:val="20"/>
        </w:rPr>
        <w:t>Section 26 05 33 – Raceway Conduit and Boxes</w:t>
      </w:r>
    </w:p>
    <w:p w:rsidR="006866EE" w:rsidRPr="008B6304" w:rsidRDefault="00CB2256" w:rsidP="0091756A">
      <w:pPr>
        <w:pStyle w:val="ART"/>
        <w:rPr>
          <w:rFonts w:cs="Arial"/>
          <w:b/>
          <w:sz w:val="20"/>
          <w:szCs w:val="20"/>
        </w:rPr>
      </w:pPr>
      <w:r w:rsidRPr="008B6304">
        <w:rPr>
          <w:rFonts w:cs="Arial"/>
          <w:b/>
          <w:sz w:val="20"/>
          <w:szCs w:val="20"/>
        </w:rPr>
        <w:t>REFERENCES</w:t>
      </w:r>
    </w:p>
    <w:p w:rsidR="006866EE" w:rsidRDefault="00CB2256" w:rsidP="00CB2256">
      <w:pPr>
        <w:pStyle w:val="PR1"/>
        <w:rPr>
          <w:rFonts w:cs="Arial"/>
          <w:sz w:val="20"/>
        </w:rPr>
      </w:pPr>
      <w:r w:rsidRPr="00CB2256">
        <w:rPr>
          <w:rFonts w:cs="Arial"/>
          <w:sz w:val="20"/>
        </w:rPr>
        <w:t xml:space="preserve">ASTM C335 </w:t>
      </w:r>
      <w:r>
        <w:rPr>
          <w:rFonts w:cs="Arial"/>
          <w:sz w:val="20"/>
        </w:rPr>
        <w:t>-</w:t>
      </w:r>
      <w:r w:rsidRPr="00CB2256">
        <w:rPr>
          <w:rFonts w:cs="Arial"/>
          <w:sz w:val="20"/>
        </w:rPr>
        <w:t xml:space="preserve"> Steady State Heat Transfer Properties of Horizontal Pipe Insulation.</w:t>
      </w:r>
    </w:p>
    <w:p w:rsidR="00CB2256" w:rsidRDefault="00CB2256" w:rsidP="00CB2256">
      <w:pPr>
        <w:pStyle w:val="PR1"/>
        <w:rPr>
          <w:rFonts w:cs="Arial"/>
          <w:sz w:val="20"/>
        </w:rPr>
      </w:pPr>
      <w:r w:rsidRPr="00CB2256">
        <w:rPr>
          <w:rFonts w:cs="Arial"/>
          <w:sz w:val="20"/>
        </w:rPr>
        <w:t xml:space="preserve">ASTM C518 </w:t>
      </w:r>
      <w:r>
        <w:rPr>
          <w:rFonts w:cs="Arial"/>
          <w:sz w:val="20"/>
        </w:rPr>
        <w:t>-</w:t>
      </w:r>
      <w:r w:rsidRPr="00CB2256">
        <w:rPr>
          <w:rFonts w:cs="Arial"/>
          <w:sz w:val="20"/>
        </w:rPr>
        <w:t xml:space="preserve"> Steady State Heat Flux Measurements and Thermal Transmission Properties by Means of the Heat Flow Meter Apparatus.</w:t>
      </w:r>
    </w:p>
    <w:p w:rsidR="00CB2256" w:rsidRDefault="00CB2256" w:rsidP="00CB2256">
      <w:pPr>
        <w:pStyle w:val="PR1"/>
        <w:rPr>
          <w:rFonts w:cs="Arial"/>
          <w:sz w:val="20"/>
        </w:rPr>
      </w:pPr>
      <w:r w:rsidRPr="00CB2256">
        <w:rPr>
          <w:rFonts w:cs="Arial"/>
          <w:sz w:val="20"/>
        </w:rPr>
        <w:t xml:space="preserve">ASTM C585 </w:t>
      </w:r>
      <w:r>
        <w:rPr>
          <w:rFonts w:cs="Arial"/>
          <w:sz w:val="20"/>
        </w:rPr>
        <w:t>-</w:t>
      </w:r>
      <w:r w:rsidRPr="00CB2256">
        <w:rPr>
          <w:rFonts w:cs="Arial"/>
          <w:sz w:val="20"/>
        </w:rPr>
        <w:t xml:space="preserve"> Inner and Outer Diameters of Rigid Thermal Insulation for Nominal Sizes of Pipe and Tubing (NPS System).</w:t>
      </w:r>
    </w:p>
    <w:p w:rsidR="00CB2256" w:rsidRDefault="00CB2256" w:rsidP="00CB2256">
      <w:pPr>
        <w:pStyle w:val="PR1"/>
        <w:rPr>
          <w:rFonts w:cs="Arial"/>
          <w:sz w:val="20"/>
        </w:rPr>
      </w:pPr>
      <w:r w:rsidRPr="00CB2256">
        <w:rPr>
          <w:rFonts w:cs="Arial"/>
          <w:sz w:val="20"/>
        </w:rPr>
        <w:t xml:space="preserve">ASTM E84 </w:t>
      </w:r>
      <w:r>
        <w:rPr>
          <w:rFonts w:cs="Arial"/>
          <w:sz w:val="20"/>
        </w:rPr>
        <w:t>-</w:t>
      </w:r>
      <w:r w:rsidRPr="00CB2256">
        <w:rPr>
          <w:rFonts w:cs="Arial"/>
          <w:sz w:val="20"/>
        </w:rPr>
        <w:t xml:space="preserve"> Surface Burning Characteristics of Building Materials.</w:t>
      </w:r>
    </w:p>
    <w:p w:rsidR="00CB2256" w:rsidRDefault="00CB2256" w:rsidP="00CB2256">
      <w:pPr>
        <w:pStyle w:val="PR1"/>
        <w:rPr>
          <w:rFonts w:cs="Arial"/>
          <w:sz w:val="20"/>
        </w:rPr>
      </w:pPr>
      <w:r w:rsidRPr="00CB2256">
        <w:rPr>
          <w:rFonts w:cs="Arial"/>
          <w:sz w:val="20"/>
        </w:rPr>
        <w:t xml:space="preserve">ASTM E96 </w:t>
      </w:r>
      <w:r>
        <w:rPr>
          <w:rFonts w:cs="Arial"/>
          <w:sz w:val="20"/>
        </w:rPr>
        <w:t>-</w:t>
      </w:r>
      <w:r w:rsidRPr="00CB2256">
        <w:rPr>
          <w:rFonts w:cs="Arial"/>
          <w:sz w:val="20"/>
        </w:rPr>
        <w:t xml:space="preserve"> Water Vapor Transmission of Materials.</w:t>
      </w:r>
    </w:p>
    <w:p w:rsidR="00CB2256" w:rsidRDefault="00CB2256" w:rsidP="00CB2256">
      <w:pPr>
        <w:pStyle w:val="PR1"/>
        <w:rPr>
          <w:rFonts w:cs="Arial"/>
          <w:sz w:val="20"/>
        </w:rPr>
      </w:pPr>
      <w:r>
        <w:rPr>
          <w:rFonts w:cs="Arial"/>
          <w:sz w:val="20"/>
        </w:rPr>
        <w:t>NFPA 255 -</w:t>
      </w:r>
      <w:r w:rsidRPr="00CB2256">
        <w:rPr>
          <w:rFonts w:cs="Arial"/>
          <w:sz w:val="20"/>
        </w:rPr>
        <w:t xml:space="preserve"> Surface Burning Characteristics of Building Materials.</w:t>
      </w:r>
    </w:p>
    <w:p w:rsidR="00CB2256" w:rsidRPr="00B42472" w:rsidRDefault="00CB2256" w:rsidP="00CB2256">
      <w:pPr>
        <w:pStyle w:val="PR1"/>
        <w:rPr>
          <w:rFonts w:cs="Arial"/>
          <w:sz w:val="20"/>
        </w:rPr>
      </w:pPr>
      <w:r>
        <w:rPr>
          <w:rFonts w:cs="Arial"/>
          <w:sz w:val="20"/>
        </w:rPr>
        <w:t>UL 723 -</w:t>
      </w:r>
      <w:r w:rsidRPr="00CB2256">
        <w:rPr>
          <w:rFonts w:cs="Arial"/>
          <w:sz w:val="20"/>
        </w:rPr>
        <w:t xml:space="preserve"> Surface Burning Characteristics of Building Materials.</w:t>
      </w:r>
    </w:p>
    <w:p w:rsidR="00AA4857" w:rsidRPr="008B6304" w:rsidRDefault="00CB2256" w:rsidP="0091756A">
      <w:pPr>
        <w:pStyle w:val="ART"/>
        <w:rPr>
          <w:rFonts w:cs="Arial"/>
          <w:b/>
          <w:sz w:val="20"/>
          <w:szCs w:val="20"/>
        </w:rPr>
      </w:pPr>
      <w:r w:rsidRPr="008B6304">
        <w:rPr>
          <w:rFonts w:cs="Arial"/>
          <w:b/>
          <w:sz w:val="20"/>
          <w:szCs w:val="20"/>
        </w:rPr>
        <w:t>SUBMITTALS</w:t>
      </w:r>
    </w:p>
    <w:p w:rsidR="00AA4857" w:rsidRDefault="00CB2256" w:rsidP="00CB2256">
      <w:pPr>
        <w:pStyle w:val="PR1"/>
        <w:rPr>
          <w:rFonts w:cs="Arial"/>
          <w:sz w:val="20"/>
        </w:rPr>
      </w:pPr>
      <w:r w:rsidRPr="00CB2256">
        <w:rPr>
          <w:rFonts w:cs="Arial"/>
          <w:sz w:val="20"/>
        </w:rPr>
        <w:t>Submi</w:t>
      </w:r>
      <w:r>
        <w:rPr>
          <w:rFonts w:cs="Arial"/>
          <w:sz w:val="20"/>
        </w:rPr>
        <w:t>t under provisions of Section 22</w:t>
      </w:r>
      <w:r w:rsidRPr="00CB2256">
        <w:rPr>
          <w:rFonts w:cs="Arial"/>
          <w:sz w:val="20"/>
        </w:rPr>
        <w:t xml:space="preserve"> 00 00.</w:t>
      </w:r>
    </w:p>
    <w:p w:rsidR="00CB2256" w:rsidRDefault="00CB2256" w:rsidP="00CB2256">
      <w:pPr>
        <w:pStyle w:val="PR1"/>
        <w:rPr>
          <w:rFonts w:cs="Arial"/>
          <w:sz w:val="20"/>
        </w:rPr>
      </w:pPr>
      <w:r>
        <w:rPr>
          <w:rFonts w:cs="Arial"/>
          <w:sz w:val="20"/>
        </w:rPr>
        <w:lastRenderedPageBreak/>
        <w:t>Product Data: Provide rated capacities</w:t>
      </w:r>
      <w:r w:rsidR="00962D41">
        <w:rPr>
          <w:rFonts w:cs="Arial"/>
          <w:sz w:val="20"/>
        </w:rPr>
        <w:t>, operating characteristics, furnished specialties and accessories for each type of products indicated. Schedule heating capacity, length of cable, spacing and electrical power requirements for each electric heating cable required.</w:t>
      </w:r>
    </w:p>
    <w:p w:rsidR="00962D41" w:rsidRDefault="00962D41" w:rsidP="00CB2256">
      <w:pPr>
        <w:pStyle w:val="PR1"/>
        <w:rPr>
          <w:rFonts w:cs="Arial"/>
          <w:sz w:val="20"/>
        </w:rPr>
      </w:pPr>
      <w:r>
        <w:rPr>
          <w:rFonts w:cs="Arial"/>
          <w:sz w:val="20"/>
        </w:rPr>
        <w:t>Field quality control test reports</w:t>
      </w:r>
    </w:p>
    <w:p w:rsidR="00962D41" w:rsidRDefault="00962D41" w:rsidP="00962D41">
      <w:pPr>
        <w:pStyle w:val="PR1"/>
        <w:rPr>
          <w:rFonts w:cs="Arial"/>
          <w:sz w:val="20"/>
        </w:rPr>
      </w:pPr>
      <w:r w:rsidRPr="00962D41">
        <w:rPr>
          <w:rFonts w:cs="Arial"/>
          <w:sz w:val="20"/>
        </w:rPr>
        <w:t>Manufacture</w:t>
      </w:r>
      <w:r>
        <w:rPr>
          <w:rFonts w:cs="Arial"/>
          <w:sz w:val="20"/>
        </w:rPr>
        <w:t xml:space="preserve">r’s Installation Instructions: </w:t>
      </w:r>
      <w:r w:rsidRPr="00962D41">
        <w:rPr>
          <w:rFonts w:cs="Arial"/>
          <w:sz w:val="20"/>
        </w:rPr>
        <w:t>Indicate procedures which ensure acceptable workmanship and installation standards will be achieved.</w:t>
      </w:r>
    </w:p>
    <w:p w:rsidR="00962D41" w:rsidRDefault="00962D41" w:rsidP="00962D41">
      <w:pPr>
        <w:pStyle w:val="PR1"/>
        <w:rPr>
          <w:rFonts w:cs="Arial"/>
          <w:sz w:val="20"/>
        </w:rPr>
      </w:pPr>
      <w:r>
        <w:rPr>
          <w:rFonts w:cs="Arial"/>
          <w:sz w:val="20"/>
        </w:rPr>
        <w:t>Include plans, sections, details, wiring diagrams which include power, signal &amp; control wiring.</w:t>
      </w:r>
    </w:p>
    <w:p w:rsidR="00962D41" w:rsidRPr="008B6304" w:rsidRDefault="00962D41" w:rsidP="00962D41">
      <w:pPr>
        <w:pStyle w:val="ART"/>
        <w:rPr>
          <w:b/>
          <w:sz w:val="20"/>
          <w:szCs w:val="20"/>
        </w:rPr>
      </w:pPr>
      <w:r w:rsidRPr="008B6304">
        <w:rPr>
          <w:b/>
          <w:sz w:val="20"/>
          <w:szCs w:val="20"/>
        </w:rPr>
        <w:t>QUALITY ASSURANCE</w:t>
      </w:r>
    </w:p>
    <w:p w:rsidR="00962D41" w:rsidRPr="00962D41" w:rsidRDefault="00962D41" w:rsidP="00962D41">
      <w:pPr>
        <w:pStyle w:val="PR1"/>
        <w:rPr>
          <w:sz w:val="20"/>
        </w:rPr>
      </w:pPr>
      <w:r w:rsidRPr="00962D41">
        <w:rPr>
          <w:sz w:val="20"/>
        </w:rPr>
        <w:t xml:space="preserve">Electrical components, devices and accessories shall be listed and labeled as defined in NFPA 70, Article 100, by a testing agency acceptable to authorities having jurisdiction, and marked for intends use. </w:t>
      </w:r>
    </w:p>
    <w:p w:rsidR="00962D41" w:rsidRPr="00707F5E" w:rsidRDefault="00962D41" w:rsidP="00962D41">
      <w:pPr>
        <w:pStyle w:val="PR1"/>
      </w:pPr>
      <w:r>
        <w:rPr>
          <w:sz w:val="20"/>
        </w:rPr>
        <w:t>The manufacturer shall be regularly engaged in the design, testing and manufacture, and provide complete</w:t>
      </w:r>
      <w:r w:rsidR="00707F5E">
        <w:rPr>
          <w:sz w:val="20"/>
        </w:rPr>
        <w:t xml:space="preserve"> catalog data of specified products. The manufacturer shall have at least 10 years of expertise in the design, testing and production of specified products before the date of bid. </w:t>
      </w:r>
    </w:p>
    <w:p w:rsidR="00707F5E" w:rsidRPr="008B6304" w:rsidRDefault="00707F5E" w:rsidP="00707F5E">
      <w:pPr>
        <w:pStyle w:val="ART"/>
        <w:rPr>
          <w:b/>
          <w:sz w:val="20"/>
          <w:szCs w:val="20"/>
        </w:rPr>
      </w:pPr>
      <w:r w:rsidRPr="008B6304">
        <w:rPr>
          <w:b/>
          <w:sz w:val="20"/>
          <w:szCs w:val="20"/>
        </w:rPr>
        <w:t>DELIVERY, STORAGE, AND HANDLING</w:t>
      </w:r>
    </w:p>
    <w:p w:rsidR="00707F5E" w:rsidRDefault="00707F5E" w:rsidP="00707F5E">
      <w:pPr>
        <w:pStyle w:val="PR1"/>
        <w:rPr>
          <w:sz w:val="20"/>
        </w:rPr>
      </w:pPr>
      <w:r w:rsidRPr="00707F5E">
        <w:rPr>
          <w:sz w:val="20"/>
        </w:rPr>
        <w:t>Deliver, store, protect, and handle products to site under provisions of Section 22 00 00.</w:t>
      </w:r>
    </w:p>
    <w:p w:rsidR="00707F5E" w:rsidRDefault="00707F5E" w:rsidP="00707F5E">
      <w:pPr>
        <w:pStyle w:val="PR1"/>
        <w:rPr>
          <w:sz w:val="20"/>
        </w:rPr>
      </w:pPr>
      <w:r w:rsidRPr="00707F5E">
        <w:rPr>
          <w:sz w:val="20"/>
        </w:rPr>
        <w:t>Deliver materials to site in original factory packaging, labeled with manufacturer’s identification, including product thermal ratings and thickness.</w:t>
      </w:r>
    </w:p>
    <w:p w:rsidR="00707F5E" w:rsidRDefault="00707F5E" w:rsidP="00707F5E">
      <w:pPr>
        <w:pStyle w:val="PR1"/>
        <w:rPr>
          <w:sz w:val="20"/>
        </w:rPr>
      </w:pPr>
      <w:r>
        <w:rPr>
          <w:sz w:val="20"/>
        </w:rPr>
        <w:t>Store</w:t>
      </w:r>
      <w:r w:rsidRPr="00707F5E">
        <w:rPr>
          <w:sz w:val="20"/>
        </w:rPr>
        <w:t xml:space="preserve"> in original wrapping and protect from weather and construction traffic. Protect insulation against dirt, water, chemical, and mechanical damage.</w:t>
      </w:r>
    </w:p>
    <w:p w:rsidR="00707F5E" w:rsidRPr="008B6304" w:rsidRDefault="00707F5E" w:rsidP="00707F5E">
      <w:pPr>
        <w:pStyle w:val="ART"/>
        <w:rPr>
          <w:b/>
        </w:rPr>
      </w:pPr>
      <w:r w:rsidRPr="008B6304">
        <w:rPr>
          <w:b/>
          <w:sz w:val="20"/>
          <w:szCs w:val="20"/>
        </w:rPr>
        <w:t>WARRANTY</w:t>
      </w:r>
      <w:r w:rsidRPr="008B6304">
        <w:rPr>
          <w:b/>
        </w:rPr>
        <w:t xml:space="preserve"> </w:t>
      </w:r>
    </w:p>
    <w:p w:rsidR="00707F5E" w:rsidRPr="00E57A47" w:rsidRDefault="00E57A47" w:rsidP="00707F5E">
      <w:pPr>
        <w:pStyle w:val="PR1"/>
        <w:rPr>
          <w:sz w:val="20"/>
        </w:rPr>
      </w:pPr>
      <w:r w:rsidRPr="00E57A47">
        <w:rPr>
          <w:sz w:val="20"/>
        </w:rPr>
        <w:t xml:space="preserve">Manufacturer shall </w:t>
      </w:r>
      <w:r w:rsidR="000A623B">
        <w:rPr>
          <w:sz w:val="20"/>
        </w:rPr>
        <w:t>warranty for materials and work</w:t>
      </w:r>
      <w:r w:rsidRPr="00E57A47">
        <w:rPr>
          <w:sz w:val="20"/>
        </w:rPr>
        <w:t>m</w:t>
      </w:r>
      <w:r w:rsidR="000A623B">
        <w:rPr>
          <w:sz w:val="20"/>
        </w:rPr>
        <w:t>an</w:t>
      </w:r>
      <w:r w:rsidRPr="00E57A47">
        <w:rPr>
          <w:sz w:val="20"/>
        </w:rPr>
        <w:t xml:space="preserve">ship </w:t>
      </w:r>
      <w:r>
        <w:rPr>
          <w:sz w:val="20"/>
        </w:rPr>
        <w:t>date of substantial completion.</w:t>
      </w:r>
    </w:p>
    <w:p w:rsidR="00AA4857" w:rsidRPr="00B42472" w:rsidRDefault="00AA4857" w:rsidP="00B26367">
      <w:pPr>
        <w:pStyle w:val="PRT"/>
        <w:rPr>
          <w:b/>
          <w:sz w:val="20"/>
          <w:szCs w:val="20"/>
        </w:rPr>
      </w:pPr>
      <w:r w:rsidRPr="00B42472">
        <w:rPr>
          <w:b/>
          <w:sz w:val="20"/>
          <w:szCs w:val="20"/>
        </w:rPr>
        <w:t>PRODUCTS</w:t>
      </w:r>
    </w:p>
    <w:p w:rsidR="00AA4857" w:rsidRPr="008B6304" w:rsidRDefault="006866EE" w:rsidP="0091756A">
      <w:pPr>
        <w:pStyle w:val="ART"/>
        <w:rPr>
          <w:rFonts w:cs="Arial"/>
          <w:b/>
          <w:sz w:val="20"/>
          <w:szCs w:val="20"/>
        </w:rPr>
      </w:pPr>
      <w:r w:rsidRPr="008B6304">
        <w:rPr>
          <w:rFonts w:cs="Arial"/>
          <w:b/>
          <w:sz w:val="20"/>
          <w:szCs w:val="20"/>
        </w:rPr>
        <w:t>MANUFACTURERS</w:t>
      </w:r>
    </w:p>
    <w:p w:rsidR="00AA4857" w:rsidRPr="00B42472" w:rsidRDefault="006866EE" w:rsidP="0091756A">
      <w:pPr>
        <w:pStyle w:val="PR1"/>
        <w:rPr>
          <w:rFonts w:cs="Arial"/>
          <w:sz w:val="20"/>
        </w:rPr>
      </w:pPr>
      <w:r w:rsidRPr="00B42472">
        <w:rPr>
          <w:rFonts w:cs="Arial"/>
          <w:sz w:val="20"/>
        </w:rPr>
        <w:t xml:space="preserve">Acceptable </w:t>
      </w:r>
      <w:r w:rsidR="00AA4857" w:rsidRPr="00B42472">
        <w:rPr>
          <w:rFonts w:cs="Arial"/>
          <w:sz w:val="20"/>
        </w:rPr>
        <w:t>Manufacturers:  Subject to compliance with requirements, provide products by one of the following:</w:t>
      </w:r>
    </w:p>
    <w:p w:rsidR="00AA4857" w:rsidRPr="00B42472" w:rsidRDefault="00AA4857" w:rsidP="0091756A">
      <w:pPr>
        <w:pStyle w:val="PR2"/>
        <w:rPr>
          <w:sz w:val="20"/>
          <w:szCs w:val="20"/>
        </w:rPr>
      </w:pPr>
      <w:proofErr w:type="spellStart"/>
      <w:r w:rsidRPr="00B42472">
        <w:rPr>
          <w:sz w:val="20"/>
          <w:szCs w:val="20"/>
        </w:rPr>
        <w:t>Chromalox</w:t>
      </w:r>
      <w:proofErr w:type="spellEnd"/>
      <w:r w:rsidRPr="00B42472">
        <w:rPr>
          <w:sz w:val="20"/>
          <w:szCs w:val="20"/>
        </w:rPr>
        <w:t>, In</w:t>
      </w:r>
      <w:r w:rsidR="00F07B06" w:rsidRPr="00B42472">
        <w:rPr>
          <w:sz w:val="20"/>
          <w:szCs w:val="20"/>
        </w:rPr>
        <w:t xml:space="preserve">c., </w:t>
      </w:r>
      <w:proofErr w:type="spellStart"/>
      <w:r w:rsidR="00F07B06" w:rsidRPr="00B42472">
        <w:rPr>
          <w:sz w:val="20"/>
          <w:szCs w:val="20"/>
        </w:rPr>
        <w:t>Wiegard</w:t>
      </w:r>
      <w:proofErr w:type="spellEnd"/>
      <w:r w:rsidR="00F07B06" w:rsidRPr="00B42472">
        <w:rPr>
          <w:sz w:val="20"/>
          <w:szCs w:val="20"/>
        </w:rPr>
        <w:t xml:space="preserve"> Industrial Division,</w:t>
      </w:r>
      <w:r w:rsidRPr="00B42472">
        <w:rPr>
          <w:sz w:val="20"/>
          <w:szCs w:val="20"/>
        </w:rPr>
        <w:t xml:space="preserve"> Emerson Electric Company.</w:t>
      </w:r>
    </w:p>
    <w:p w:rsidR="00AA4857" w:rsidRPr="00B42472" w:rsidRDefault="00AA4857" w:rsidP="0091756A">
      <w:pPr>
        <w:pStyle w:val="PR2"/>
        <w:rPr>
          <w:sz w:val="20"/>
          <w:szCs w:val="20"/>
        </w:rPr>
      </w:pPr>
      <w:r w:rsidRPr="00B42472">
        <w:rPr>
          <w:sz w:val="20"/>
          <w:szCs w:val="20"/>
        </w:rPr>
        <w:t>Nelson Heat Trace.</w:t>
      </w:r>
    </w:p>
    <w:p w:rsidR="00AA4857" w:rsidRPr="00B42472" w:rsidRDefault="00B42472" w:rsidP="0091756A">
      <w:pPr>
        <w:pStyle w:val="PR2"/>
        <w:rPr>
          <w:sz w:val="20"/>
          <w:szCs w:val="20"/>
        </w:rPr>
      </w:pPr>
      <w:r>
        <w:rPr>
          <w:sz w:val="20"/>
          <w:szCs w:val="20"/>
        </w:rPr>
        <w:t>Pentair (Raychem)</w:t>
      </w:r>
    </w:p>
    <w:p w:rsidR="00AA4857" w:rsidRPr="00B42472" w:rsidRDefault="00AA4857" w:rsidP="0091756A">
      <w:pPr>
        <w:pStyle w:val="PR2"/>
        <w:rPr>
          <w:sz w:val="20"/>
          <w:szCs w:val="20"/>
        </w:rPr>
      </w:pPr>
      <w:proofErr w:type="spellStart"/>
      <w:r w:rsidRPr="00B42472">
        <w:rPr>
          <w:sz w:val="20"/>
          <w:szCs w:val="20"/>
        </w:rPr>
        <w:t>Thermon</w:t>
      </w:r>
      <w:proofErr w:type="spellEnd"/>
      <w:r w:rsidRPr="00B42472">
        <w:rPr>
          <w:sz w:val="20"/>
          <w:szCs w:val="20"/>
        </w:rPr>
        <w:t xml:space="preserve"> Manufacturing Co.</w:t>
      </w:r>
    </w:p>
    <w:p w:rsidR="006866EE" w:rsidRPr="008B6304" w:rsidRDefault="006866EE" w:rsidP="0091756A">
      <w:pPr>
        <w:pStyle w:val="ART"/>
        <w:rPr>
          <w:rFonts w:cs="Arial"/>
          <w:b/>
          <w:sz w:val="20"/>
          <w:szCs w:val="20"/>
        </w:rPr>
      </w:pPr>
      <w:r w:rsidRPr="008B6304">
        <w:rPr>
          <w:rFonts w:cs="Arial"/>
          <w:b/>
          <w:sz w:val="20"/>
          <w:szCs w:val="20"/>
        </w:rPr>
        <w:t>MATERIALS</w:t>
      </w:r>
    </w:p>
    <w:p w:rsidR="006866EE" w:rsidRPr="00B42472" w:rsidRDefault="006866EE" w:rsidP="0091756A">
      <w:pPr>
        <w:pStyle w:val="PR1"/>
        <w:rPr>
          <w:rFonts w:cs="Arial"/>
          <w:sz w:val="20"/>
        </w:rPr>
      </w:pPr>
      <w:r w:rsidRPr="00B42472">
        <w:rPr>
          <w:rFonts w:cs="Arial"/>
          <w:sz w:val="20"/>
        </w:rPr>
        <w:t>Heat Tracing Cable:  Self-limiting design.  When cable is cut to length in the field, heat output per foot will not change.</w:t>
      </w:r>
    </w:p>
    <w:p w:rsidR="006866EE" w:rsidRPr="00B42472" w:rsidRDefault="006866EE" w:rsidP="0091756A">
      <w:pPr>
        <w:pStyle w:val="PR1"/>
        <w:rPr>
          <w:rFonts w:cs="Arial"/>
          <w:sz w:val="20"/>
        </w:rPr>
      </w:pPr>
      <w:r w:rsidRPr="00B42472">
        <w:rPr>
          <w:rFonts w:cs="Arial"/>
          <w:sz w:val="20"/>
        </w:rPr>
        <w:t xml:space="preserve">Freeze Protection Service Voltage:  </w:t>
      </w:r>
      <w:proofErr w:type="gramStart"/>
      <w:r w:rsidR="00713433" w:rsidRPr="00B42472">
        <w:rPr>
          <w:rFonts w:cs="Arial"/>
          <w:sz w:val="20"/>
        </w:rPr>
        <w:t>120</w:t>
      </w:r>
      <w:r w:rsidRPr="00B42472">
        <w:rPr>
          <w:rFonts w:cs="Arial"/>
          <w:sz w:val="20"/>
        </w:rPr>
        <w:t xml:space="preserve"> volt</w:t>
      </w:r>
      <w:proofErr w:type="gramEnd"/>
      <w:r w:rsidRPr="00B42472">
        <w:rPr>
          <w:rFonts w:cs="Arial"/>
          <w:sz w:val="20"/>
        </w:rPr>
        <w:t>, single phase, 60 hertz rated for non-hazardous area with one point power supply.</w:t>
      </w:r>
    </w:p>
    <w:p w:rsidR="003E2E3B" w:rsidRPr="00B42472" w:rsidRDefault="003E2E3B" w:rsidP="0091756A">
      <w:pPr>
        <w:pStyle w:val="PR1"/>
        <w:rPr>
          <w:rFonts w:cs="Arial"/>
          <w:sz w:val="20"/>
        </w:rPr>
      </w:pPr>
      <w:r w:rsidRPr="00B42472">
        <w:rPr>
          <w:rFonts w:cs="Arial"/>
          <w:sz w:val="20"/>
        </w:rPr>
        <w:t>Heating Cable System:</w:t>
      </w:r>
    </w:p>
    <w:p w:rsidR="006866EE" w:rsidRPr="00B42472" w:rsidRDefault="006866EE" w:rsidP="0091756A">
      <w:pPr>
        <w:pStyle w:val="PR2"/>
        <w:rPr>
          <w:sz w:val="20"/>
          <w:szCs w:val="20"/>
        </w:rPr>
      </w:pPr>
      <w:r w:rsidRPr="00B42472">
        <w:rPr>
          <w:sz w:val="20"/>
          <w:szCs w:val="20"/>
        </w:rPr>
        <w:lastRenderedPageBreak/>
        <w:t>Maintain minimu</w:t>
      </w:r>
      <w:r w:rsidR="00F07B06" w:rsidRPr="00B42472">
        <w:rPr>
          <w:sz w:val="20"/>
          <w:szCs w:val="20"/>
        </w:rPr>
        <w:t>m temperature of 40°</w:t>
      </w:r>
      <w:r w:rsidRPr="00B42472">
        <w:rPr>
          <w:sz w:val="20"/>
          <w:szCs w:val="20"/>
        </w:rPr>
        <w:t>F for specified piping systems.</w:t>
      </w:r>
    </w:p>
    <w:p w:rsidR="006866EE" w:rsidRPr="00B42472" w:rsidRDefault="006866EE" w:rsidP="0091756A">
      <w:pPr>
        <w:pStyle w:val="PR2"/>
        <w:rPr>
          <w:sz w:val="20"/>
          <w:szCs w:val="20"/>
        </w:rPr>
      </w:pPr>
      <w:r w:rsidRPr="00B42472">
        <w:rPr>
          <w:sz w:val="20"/>
          <w:szCs w:val="20"/>
        </w:rPr>
        <w:t>Size based on output rating</w:t>
      </w:r>
      <w:r w:rsidR="00F07B06" w:rsidRPr="00B42472">
        <w:rPr>
          <w:sz w:val="20"/>
          <w:szCs w:val="20"/>
        </w:rPr>
        <w:t xml:space="preserve"> in watts per square foot at 50°</w:t>
      </w:r>
      <w:r w:rsidRPr="00B42472">
        <w:rPr>
          <w:sz w:val="20"/>
          <w:szCs w:val="20"/>
        </w:rPr>
        <w:t>F.</w:t>
      </w:r>
    </w:p>
    <w:p w:rsidR="006866EE" w:rsidRPr="00B42472" w:rsidRDefault="006866EE" w:rsidP="0091756A">
      <w:pPr>
        <w:pStyle w:val="PR2"/>
        <w:rPr>
          <w:sz w:val="20"/>
          <w:szCs w:val="20"/>
        </w:rPr>
      </w:pPr>
      <w:r w:rsidRPr="00B42472">
        <w:rPr>
          <w:sz w:val="20"/>
          <w:szCs w:val="20"/>
        </w:rPr>
        <w:t>Heating cable watts ratin</w:t>
      </w:r>
      <w:r w:rsidR="00F07B06" w:rsidRPr="00B42472">
        <w:rPr>
          <w:sz w:val="20"/>
          <w:szCs w:val="20"/>
        </w:rPr>
        <w:t>g shall be based on a minimum 0°</w:t>
      </w:r>
      <w:r w:rsidRPr="00B42472">
        <w:rPr>
          <w:sz w:val="20"/>
          <w:szCs w:val="20"/>
        </w:rPr>
        <w:t>F ambient temperature.</w:t>
      </w:r>
    </w:p>
    <w:p w:rsidR="003E2E3B" w:rsidRPr="00B42472" w:rsidRDefault="006866EE" w:rsidP="0091756A">
      <w:pPr>
        <w:pStyle w:val="PR2"/>
        <w:rPr>
          <w:sz w:val="20"/>
          <w:szCs w:val="20"/>
        </w:rPr>
      </w:pPr>
      <w:r w:rsidRPr="00B42472">
        <w:rPr>
          <w:sz w:val="20"/>
          <w:szCs w:val="20"/>
        </w:rPr>
        <w:t>Power Demand:  5 watts per foot for pipe sizes</w:t>
      </w:r>
      <w:r w:rsidR="003E2E3B" w:rsidRPr="00B42472">
        <w:rPr>
          <w:sz w:val="20"/>
          <w:szCs w:val="20"/>
        </w:rPr>
        <w:t xml:space="preserve"> 4 inches and less, 8 watts per foot for 6 inches through </w:t>
      </w:r>
      <w:proofErr w:type="gramStart"/>
      <w:r w:rsidR="003E2E3B" w:rsidRPr="00B42472">
        <w:rPr>
          <w:sz w:val="20"/>
          <w:szCs w:val="20"/>
        </w:rPr>
        <w:t>8 inch</w:t>
      </w:r>
      <w:proofErr w:type="gramEnd"/>
      <w:r w:rsidR="003E2E3B" w:rsidRPr="00B42472">
        <w:rPr>
          <w:sz w:val="20"/>
          <w:szCs w:val="20"/>
        </w:rPr>
        <w:t xml:space="preserve"> pipe.</w:t>
      </w:r>
      <w:r w:rsidR="00AB57D8" w:rsidRPr="00B42472">
        <w:rPr>
          <w:sz w:val="20"/>
          <w:szCs w:val="20"/>
        </w:rPr>
        <w:t xml:space="preserve"> </w:t>
      </w:r>
      <w:r w:rsidR="003E2E3B" w:rsidRPr="00B42472">
        <w:rPr>
          <w:sz w:val="20"/>
          <w:szCs w:val="20"/>
        </w:rPr>
        <w:t>Cable shall be capable of being overlapped on itself without causing localized hot spots or creating hazards or possibility of burnout.</w:t>
      </w:r>
    </w:p>
    <w:p w:rsidR="003E2E3B" w:rsidRPr="00B42472" w:rsidRDefault="003E2E3B" w:rsidP="0091756A">
      <w:pPr>
        <w:pStyle w:val="PR2"/>
        <w:rPr>
          <w:sz w:val="20"/>
          <w:szCs w:val="20"/>
        </w:rPr>
      </w:pPr>
      <w:r w:rsidRPr="00B42472">
        <w:rPr>
          <w:sz w:val="20"/>
          <w:szCs w:val="20"/>
        </w:rPr>
        <w:t>Failure of controls while in an energized condition shall not raise the temperature sufficiently to cause product failure or damage to piping and insulation materials.</w:t>
      </w:r>
    </w:p>
    <w:p w:rsidR="003E2E3B" w:rsidRPr="00B42472" w:rsidRDefault="003E2E3B" w:rsidP="0091756A">
      <w:pPr>
        <w:pStyle w:val="PR2"/>
        <w:rPr>
          <w:sz w:val="20"/>
          <w:szCs w:val="20"/>
        </w:rPr>
      </w:pPr>
      <w:r w:rsidRPr="00B42472">
        <w:rPr>
          <w:sz w:val="20"/>
          <w:szCs w:val="20"/>
        </w:rPr>
        <w:t>Cable shall have a self-regulating factor of at least 90 percent.</w:t>
      </w:r>
    </w:p>
    <w:p w:rsidR="003E2E3B" w:rsidRPr="00B42472" w:rsidRDefault="003E2E3B" w:rsidP="0091756A">
      <w:pPr>
        <w:pStyle w:val="PR2"/>
        <w:rPr>
          <w:sz w:val="20"/>
          <w:szCs w:val="20"/>
        </w:rPr>
      </w:pPr>
      <w:r w:rsidRPr="00B42472">
        <w:rPr>
          <w:sz w:val="20"/>
          <w:szCs w:val="20"/>
        </w:rPr>
        <w:t>Cable Core: Radiation cross-linked, semi-conductive polymer.  Chemically cross-linked material is not acceptable.</w:t>
      </w:r>
    </w:p>
    <w:p w:rsidR="003E2E3B" w:rsidRPr="00B42472" w:rsidRDefault="003E2E3B" w:rsidP="0091756A">
      <w:pPr>
        <w:pStyle w:val="PR2"/>
        <w:rPr>
          <w:sz w:val="20"/>
          <w:szCs w:val="20"/>
        </w:rPr>
      </w:pPr>
      <w:r w:rsidRPr="00B42472">
        <w:rPr>
          <w:sz w:val="20"/>
          <w:szCs w:val="20"/>
        </w:rPr>
        <w:t>Additional protective dielectric jacket between heat producing core material and outer jacket of heater.</w:t>
      </w:r>
    </w:p>
    <w:p w:rsidR="003E2E3B" w:rsidRPr="00B42472" w:rsidRDefault="003E2E3B" w:rsidP="0091756A">
      <w:pPr>
        <w:pStyle w:val="PR2"/>
        <w:rPr>
          <w:sz w:val="20"/>
          <w:szCs w:val="20"/>
        </w:rPr>
      </w:pPr>
      <w:r w:rsidRPr="00B42472">
        <w:rPr>
          <w:sz w:val="20"/>
          <w:szCs w:val="20"/>
        </w:rPr>
        <w:t>Current carrying conductors shall use at least 16 gage copper bus wire with self-regulating, semi-conductive core and radiation cross-linked modified polyolefin jacket in order to maximize circuit length capability.</w:t>
      </w:r>
    </w:p>
    <w:p w:rsidR="0078638E" w:rsidRPr="00B42472" w:rsidRDefault="003E2E3B" w:rsidP="0091756A">
      <w:pPr>
        <w:pStyle w:val="PR2"/>
        <w:rPr>
          <w:sz w:val="20"/>
          <w:szCs w:val="20"/>
        </w:rPr>
      </w:pPr>
      <w:r w:rsidRPr="00B42472">
        <w:rPr>
          <w:sz w:val="20"/>
          <w:szCs w:val="20"/>
        </w:rPr>
        <w:t xml:space="preserve">Cable shall be fed via one control per loop to sense ambient air and pipe temperature for </w:t>
      </w:r>
      <w:r w:rsidR="00C8258B" w:rsidRPr="00B42472">
        <w:rPr>
          <w:sz w:val="20"/>
          <w:szCs w:val="20"/>
        </w:rPr>
        <w:t>domestic water and fire water systems. The heat trace system shall include all components for a complete operational system, including but not limited to splice kits, temperature sensing devices, power connection kits, etc. Strictly follow manufacturer’s recommendations.</w:t>
      </w:r>
    </w:p>
    <w:p w:rsidR="0078638E" w:rsidRPr="00B42472" w:rsidRDefault="0078638E" w:rsidP="0091756A">
      <w:pPr>
        <w:pStyle w:val="PR2"/>
        <w:rPr>
          <w:sz w:val="20"/>
          <w:szCs w:val="20"/>
        </w:rPr>
      </w:pPr>
      <w:r w:rsidRPr="00B42472">
        <w:rPr>
          <w:sz w:val="20"/>
          <w:szCs w:val="20"/>
        </w:rPr>
        <w:t>Ground fault protection for the heat</w:t>
      </w:r>
      <w:r w:rsidR="00FE267A" w:rsidRPr="00B42472">
        <w:rPr>
          <w:sz w:val="20"/>
          <w:szCs w:val="20"/>
        </w:rPr>
        <w:t xml:space="preserve"> trace system shall be provided integrated with the heat trace controllers.</w:t>
      </w:r>
    </w:p>
    <w:p w:rsidR="00AA4857" w:rsidRPr="008B6304" w:rsidRDefault="00AA4857" w:rsidP="0091756A">
      <w:pPr>
        <w:pStyle w:val="ART"/>
        <w:rPr>
          <w:rFonts w:cs="Arial"/>
          <w:b/>
          <w:sz w:val="20"/>
          <w:szCs w:val="20"/>
        </w:rPr>
      </w:pPr>
      <w:r w:rsidRPr="008B6304">
        <w:rPr>
          <w:rFonts w:cs="Arial"/>
          <w:b/>
          <w:sz w:val="20"/>
          <w:szCs w:val="20"/>
        </w:rPr>
        <w:t>ACCESSORIES</w:t>
      </w:r>
    </w:p>
    <w:p w:rsidR="00AA4857" w:rsidRPr="00B42472" w:rsidRDefault="00AA4857" w:rsidP="0091756A">
      <w:pPr>
        <w:pStyle w:val="PR1"/>
        <w:rPr>
          <w:rFonts w:cs="Arial"/>
          <w:sz w:val="20"/>
        </w:rPr>
      </w:pPr>
      <w:r w:rsidRPr="00B42472">
        <w:rPr>
          <w:rFonts w:cs="Arial"/>
          <w:sz w:val="20"/>
        </w:rPr>
        <w:t>Cable Installation Accessories:  Fiberglass tape, heat-conductive putty, cable ties, silicone end seals and splice kits, and installation clips all furnished by manufacturer, or as recommended in writing by manufacturer.</w:t>
      </w:r>
    </w:p>
    <w:p w:rsidR="00AA4857" w:rsidRPr="00B42472" w:rsidRDefault="00AA4857" w:rsidP="0091756A">
      <w:pPr>
        <w:pStyle w:val="PR1"/>
        <w:rPr>
          <w:rFonts w:cs="Arial"/>
          <w:sz w:val="20"/>
        </w:rPr>
      </w:pPr>
      <w:r w:rsidRPr="00B42472">
        <w:rPr>
          <w:rFonts w:cs="Arial"/>
          <w:sz w:val="20"/>
        </w:rPr>
        <w:t>Warning Labels: Refer to Section</w:t>
      </w:r>
      <w:r w:rsidR="00910DD0" w:rsidRPr="00B42472">
        <w:rPr>
          <w:rFonts w:cs="Arial"/>
          <w:sz w:val="20"/>
        </w:rPr>
        <w:t xml:space="preserve"> 22 05 53,</w:t>
      </w:r>
      <w:r w:rsidRPr="00B42472">
        <w:rPr>
          <w:rFonts w:cs="Arial"/>
          <w:sz w:val="20"/>
        </w:rPr>
        <w:t xml:space="preserve"> </w:t>
      </w:r>
      <w:r w:rsidR="00B42472">
        <w:rPr>
          <w:rFonts w:cs="Arial"/>
          <w:sz w:val="20"/>
        </w:rPr>
        <w:t>“P</w:t>
      </w:r>
      <w:r w:rsidR="002757F4">
        <w:rPr>
          <w:rFonts w:cs="Arial"/>
          <w:sz w:val="20"/>
        </w:rPr>
        <w:t xml:space="preserve">lumbing </w:t>
      </w:r>
      <w:r w:rsidR="00B42472">
        <w:rPr>
          <w:rFonts w:cs="Arial"/>
          <w:sz w:val="20"/>
        </w:rPr>
        <w:t>Identification</w:t>
      </w:r>
      <w:r w:rsidRPr="00B42472">
        <w:rPr>
          <w:rFonts w:cs="Arial"/>
          <w:sz w:val="20"/>
        </w:rPr>
        <w:t>"</w:t>
      </w:r>
      <w:r w:rsidR="00FE267A" w:rsidRPr="00B42472">
        <w:rPr>
          <w:rFonts w:cs="Arial"/>
          <w:sz w:val="20"/>
        </w:rPr>
        <w:t>.</w:t>
      </w:r>
    </w:p>
    <w:p w:rsidR="00FE267A" w:rsidRPr="008B6304" w:rsidRDefault="00FE267A" w:rsidP="0091756A">
      <w:pPr>
        <w:pStyle w:val="ART"/>
        <w:rPr>
          <w:rFonts w:cs="Arial"/>
          <w:b/>
          <w:sz w:val="20"/>
          <w:szCs w:val="20"/>
        </w:rPr>
      </w:pPr>
      <w:r w:rsidRPr="008B6304">
        <w:rPr>
          <w:rFonts w:cs="Arial"/>
          <w:b/>
          <w:sz w:val="20"/>
          <w:szCs w:val="20"/>
        </w:rPr>
        <w:t>CONTROLS</w:t>
      </w:r>
    </w:p>
    <w:p w:rsidR="00FE267A" w:rsidRDefault="00FE267A" w:rsidP="0091756A">
      <w:pPr>
        <w:pStyle w:val="PR1"/>
        <w:rPr>
          <w:rFonts w:cs="Arial"/>
          <w:sz w:val="20"/>
        </w:rPr>
      </w:pPr>
      <w:r w:rsidRPr="00B42472">
        <w:rPr>
          <w:rFonts w:cs="Arial"/>
          <w:sz w:val="20"/>
        </w:rPr>
        <w:t>General Freeze Protection: Electronic thermostat with integrated ground fault protection.</w:t>
      </w:r>
    </w:p>
    <w:p w:rsidR="00AA4857" w:rsidRPr="00B42472" w:rsidRDefault="00AA4857" w:rsidP="008B6304">
      <w:pPr>
        <w:pStyle w:val="PRT"/>
        <w:ind w:hanging="540"/>
        <w:rPr>
          <w:b/>
          <w:sz w:val="20"/>
          <w:szCs w:val="20"/>
        </w:rPr>
      </w:pPr>
      <w:r w:rsidRPr="00B42472">
        <w:rPr>
          <w:b/>
          <w:sz w:val="20"/>
          <w:szCs w:val="20"/>
        </w:rPr>
        <w:t>EXECUTION</w:t>
      </w:r>
    </w:p>
    <w:p w:rsidR="00AA4857" w:rsidRPr="008B6304" w:rsidRDefault="00AA4857" w:rsidP="0091756A">
      <w:pPr>
        <w:pStyle w:val="ART"/>
        <w:rPr>
          <w:rFonts w:cs="Arial"/>
          <w:b/>
          <w:sz w:val="20"/>
          <w:szCs w:val="20"/>
        </w:rPr>
      </w:pPr>
      <w:r w:rsidRPr="008B6304">
        <w:rPr>
          <w:rFonts w:cs="Arial"/>
          <w:b/>
          <w:sz w:val="20"/>
          <w:szCs w:val="20"/>
        </w:rPr>
        <w:t>INSTALLATION</w:t>
      </w:r>
    </w:p>
    <w:p w:rsidR="00AA4857" w:rsidRPr="00B42472" w:rsidRDefault="00AA4857" w:rsidP="0091756A">
      <w:pPr>
        <w:pStyle w:val="PR1"/>
        <w:rPr>
          <w:rFonts w:cs="Arial"/>
          <w:sz w:val="20"/>
        </w:rPr>
      </w:pPr>
      <w:r w:rsidRPr="00B42472">
        <w:rPr>
          <w:rFonts w:cs="Arial"/>
          <w:sz w:val="20"/>
        </w:rPr>
        <w:t>Install electric heating cable across expansion, construction, and control joints according to manufacturer's written recommendations using cable protection conduit and slack cable to allow movement without damage to cable.</w:t>
      </w:r>
    </w:p>
    <w:p w:rsidR="00AA4857" w:rsidRPr="00B42472" w:rsidRDefault="00AA4857" w:rsidP="0091756A">
      <w:pPr>
        <w:pStyle w:val="PR1"/>
        <w:rPr>
          <w:rFonts w:cs="Arial"/>
          <w:sz w:val="20"/>
        </w:rPr>
      </w:pPr>
      <w:r w:rsidRPr="00B42472">
        <w:rPr>
          <w:rFonts w:cs="Arial"/>
          <w:sz w:val="20"/>
        </w:rPr>
        <w:t>Electric Heating Cable Installation for Freeze Protection for Piping:</w:t>
      </w:r>
    </w:p>
    <w:p w:rsidR="00AA4857" w:rsidRPr="00B42472" w:rsidRDefault="00AA4857" w:rsidP="0091756A">
      <w:pPr>
        <w:pStyle w:val="PR2"/>
        <w:rPr>
          <w:sz w:val="20"/>
          <w:szCs w:val="20"/>
        </w:rPr>
      </w:pPr>
      <w:r w:rsidRPr="00B42472">
        <w:rPr>
          <w:sz w:val="20"/>
          <w:szCs w:val="20"/>
        </w:rPr>
        <w:t>Install electric heating cables after piping has been tested and before insulation is installed.</w:t>
      </w:r>
    </w:p>
    <w:p w:rsidR="00AA4857" w:rsidRPr="00B42472" w:rsidRDefault="00AA4857" w:rsidP="0091756A">
      <w:pPr>
        <w:pStyle w:val="PR2"/>
        <w:rPr>
          <w:sz w:val="20"/>
          <w:szCs w:val="20"/>
        </w:rPr>
      </w:pPr>
      <w:r w:rsidRPr="00B42472">
        <w:rPr>
          <w:sz w:val="20"/>
          <w:szCs w:val="20"/>
        </w:rPr>
        <w:t>Install electric heating cables according to IEEE 515.1.</w:t>
      </w:r>
    </w:p>
    <w:p w:rsidR="00AA4857" w:rsidRPr="00B42472" w:rsidRDefault="00AA4857" w:rsidP="0091756A">
      <w:pPr>
        <w:pStyle w:val="PR2"/>
        <w:rPr>
          <w:sz w:val="20"/>
          <w:szCs w:val="20"/>
        </w:rPr>
      </w:pPr>
      <w:r w:rsidRPr="00B42472">
        <w:rPr>
          <w:sz w:val="20"/>
          <w:szCs w:val="20"/>
        </w:rPr>
        <w:t xml:space="preserve">Install insulation over piping with electric cables according to Section </w:t>
      </w:r>
      <w:r w:rsidR="00D00852" w:rsidRPr="00B42472">
        <w:rPr>
          <w:sz w:val="20"/>
          <w:szCs w:val="20"/>
        </w:rPr>
        <w:t xml:space="preserve">22 07 19, </w:t>
      </w:r>
      <w:r w:rsidRPr="00B42472">
        <w:rPr>
          <w:sz w:val="20"/>
          <w:szCs w:val="20"/>
        </w:rPr>
        <w:t>Plumbing Insulation.</w:t>
      </w:r>
    </w:p>
    <w:p w:rsidR="00AA4857" w:rsidRPr="00B42472" w:rsidRDefault="00AA4857" w:rsidP="0091756A">
      <w:pPr>
        <w:pStyle w:val="PR2"/>
        <w:rPr>
          <w:sz w:val="20"/>
          <w:szCs w:val="20"/>
        </w:rPr>
      </w:pPr>
      <w:r w:rsidRPr="00B42472">
        <w:rPr>
          <w:sz w:val="20"/>
          <w:szCs w:val="20"/>
        </w:rPr>
        <w:t>Install warning tape on piping insulation where piping is equipped with electric heating cables.</w:t>
      </w:r>
    </w:p>
    <w:p w:rsidR="00AA4857" w:rsidRPr="008B6304" w:rsidRDefault="00AA4857" w:rsidP="0091756A">
      <w:pPr>
        <w:pStyle w:val="ART"/>
        <w:rPr>
          <w:rFonts w:cs="Arial"/>
          <w:b/>
          <w:sz w:val="20"/>
          <w:szCs w:val="20"/>
        </w:rPr>
      </w:pPr>
      <w:r w:rsidRPr="008B6304">
        <w:rPr>
          <w:rFonts w:cs="Arial"/>
          <w:b/>
          <w:sz w:val="20"/>
          <w:szCs w:val="20"/>
        </w:rPr>
        <w:lastRenderedPageBreak/>
        <w:t>FIELD QUALITY CONTROL</w:t>
      </w:r>
    </w:p>
    <w:p w:rsidR="00AA4857" w:rsidRPr="00B42472" w:rsidRDefault="00AA4857" w:rsidP="0091756A">
      <w:pPr>
        <w:pStyle w:val="PR1"/>
        <w:rPr>
          <w:rFonts w:cs="Arial"/>
          <w:sz w:val="20"/>
        </w:rPr>
      </w:pPr>
      <w:r w:rsidRPr="00B42472">
        <w:rPr>
          <w:rFonts w:cs="Arial"/>
          <w:sz w:val="20"/>
        </w:rPr>
        <w:t>Testing: Perform tests after cable installation but before application of coverings such as insulation, wall or ceiling construction, or concrete.</w:t>
      </w:r>
    </w:p>
    <w:p w:rsidR="00AA4857" w:rsidRPr="00B42472" w:rsidRDefault="00AA4857" w:rsidP="0091756A">
      <w:pPr>
        <w:pStyle w:val="PR2"/>
        <w:rPr>
          <w:sz w:val="20"/>
          <w:szCs w:val="20"/>
        </w:rPr>
      </w:pPr>
      <w:r w:rsidRPr="00B42472">
        <w:rPr>
          <w:sz w:val="20"/>
          <w:szCs w:val="20"/>
        </w:rPr>
        <w:t>Test cables for electrical continuity before energizing.</w:t>
      </w:r>
    </w:p>
    <w:p w:rsidR="00AA4857" w:rsidRPr="00B42472" w:rsidRDefault="00AA4857" w:rsidP="0091756A">
      <w:pPr>
        <w:pStyle w:val="PR2"/>
        <w:rPr>
          <w:sz w:val="20"/>
          <w:szCs w:val="20"/>
        </w:rPr>
      </w:pPr>
      <w:r w:rsidRPr="00B42472">
        <w:rPr>
          <w:sz w:val="20"/>
          <w:szCs w:val="20"/>
        </w:rPr>
        <w:t>Test cables to verify rating and power input.  Energize and measure voltage and current simultaneously.</w:t>
      </w:r>
    </w:p>
    <w:p w:rsidR="00AA4857" w:rsidRPr="00B42472" w:rsidRDefault="00AA4857" w:rsidP="0091756A">
      <w:pPr>
        <w:pStyle w:val="PR1"/>
        <w:rPr>
          <w:rFonts w:cs="Arial"/>
          <w:sz w:val="20"/>
        </w:rPr>
      </w:pPr>
      <w:r w:rsidRPr="00B42472">
        <w:rPr>
          <w:rFonts w:cs="Arial"/>
          <w:sz w:val="20"/>
        </w:rPr>
        <w:t>Repeat tests for continuity, insulation resistance, and input power after applying thermal insulation on pipe-mounting cables.</w:t>
      </w:r>
    </w:p>
    <w:p w:rsidR="00AA4857" w:rsidRPr="00B42472" w:rsidRDefault="00AA4857" w:rsidP="0091756A">
      <w:pPr>
        <w:pStyle w:val="PR1"/>
        <w:rPr>
          <w:rFonts w:cs="Arial"/>
          <w:sz w:val="20"/>
        </w:rPr>
      </w:pPr>
      <w:r w:rsidRPr="00B42472">
        <w:rPr>
          <w:rFonts w:cs="Arial"/>
          <w:sz w:val="20"/>
        </w:rPr>
        <w:t>Remove and replace malfunctioning units and retest as specified above.</w:t>
      </w:r>
    </w:p>
    <w:p w:rsidR="00670BB5" w:rsidRPr="00B42472" w:rsidRDefault="00670BB5" w:rsidP="0091756A">
      <w:pPr>
        <w:pStyle w:val="PR1"/>
        <w:rPr>
          <w:rFonts w:cs="Arial"/>
          <w:sz w:val="20"/>
        </w:rPr>
      </w:pPr>
      <w:r w:rsidRPr="00B42472">
        <w:rPr>
          <w:rFonts w:cs="Arial"/>
          <w:sz w:val="20"/>
        </w:rPr>
        <w:t xml:space="preserve">Measure the heater circuit continuity and the insulation resistance between the braid and the bus wires with a 2500 Vdc </w:t>
      </w:r>
      <w:r w:rsidR="00093C2B" w:rsidRPr="00B42472">
        <w:rPr>
          <w:rFonts w:cs="Arial"/>
          <w:sz w:val="20"/>
        </w:rPr>
        <w:t>meg</w:t>
      </w:r>
      <w:r w:rsidR="00093C2B">
        <w:rPr>
          <w:rFonts w:cs="Arial"/>
          <w:sz w:val="20"/>
        </w:rPr>
        <w:t>a-</w:t>
      </w:r>
      <w:r w:rsidR="00093C2B" w:rsidRPr="00B42472">
        <w:rPr>
          <w:rFonts w:cs="Arial"/>
          <w:sz w:val="20"/>
        </w:rPr>
        <w:t>ohmmeter</w:t>
      </w:r>
      <w:r w:rsidRPr="00B42472">
        <w:rPr>
          <w:rFonts w:cs="Arial"/>
          <w:sz w:val="20"/>
        </w:rPr>
        <w:t xml:space="preserve"> (megger).</w:t>
      </w:r>
    </w:p>
    <w:p w:rsidR="00AA4857" w:rsidRPr="00EA2969" w:rsidRDefault="00AA4857" w:rsidP="00EA2969">
      <w:pPr>
        <w:pStyle w:val="EOS"/>
        <w:jc w:val="center"/>
        <w:rPr>
          <w:rFonts w:cs="Arial"/>
          <w:b/>
        </w:rPr>
      </w:pPr>
      <w:r w:rsidRPr="00EA2969">
        <w:rPr>
          <w:rFonts w:cs="Arial"/>
          <w:b/>
          <w:sz w:val="20"/>
        </w:rPr>
        <w:t>END OF SECTION</w:t>
      </w:r>
      <w:r w:rsidR="00EE7F7F" w:rsidRPr="00EA2969">
        <w:rPr>
          <w:rFonts w:cs="Arial"/>
          <w:b/>
          <w:sz w:val="20"/>
        </w:rPr>
        <w:t xml:space="preserve"> 22 05 33</w:t>
      </w:r>
    </w:p>
    <w:sectPr w:rsidR="00AA4857" w:rsidRPr="00EA2969" w:rsidSect="00255C1A">
      <w:headerReference w:type="default" r:id="rId9"/>
      <w:footerReference w:type="even" r:id="rId10"/>
      <w:footerReference w:type="default" r:id="rId11"/>
      <w:footnotePr>
        <w:numRestart w:val="eachSect"/>
      </w:footnotePr>
      <w:endnotePr>
        <w:numFmt w:val="decimal"/>
      </w:endnotePr>
      <w:pgSz w:w="12240" w:h="15840" w:code="1"/>
      <w:pgMar w:top="1440" w:right="1440" w:bottom="1440" w:left="1440" w:header="720" w:footer="576"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F78" w:rsidRDefault="00056F78">
      <w:r>
        <w:separator/>
      </w:r>
    </w:p>
  </w:endnote>
  <w:endnote w:type="continuationSeparator" w:id="0">
    <w:p w:rsidR="00056F78" w:rsidRDefault="0005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C2B" w:rsidRPr="00375282" w:rsidRDefault="00093C2B" w:rsidP="00093C2B">
    <w:pPr>
      <w:pStyle w:val="Footer"/>
      <w:jc w:val="left"/>
      <w:rPr>
        <w:sz w:val="20"/>
      </w:rPr>
    </w:pPr>
    <w:r w:rsidRPr="00375282">
      <w:rPr>
        <w:sz w:val="20"/>
      </w:rPr>
      <w:t>HEAT TRACING FOR PLUMBING PIPING</w:t>
    </w:r>
  </w:p>
  <w:p w:rsidR="00375282" w:rsidRPr="00375282" w:rsidRDefault="00375282" w:rsidP="00946C52">
    <w:pPr>
      <w:pStyle w:val="Footer"/>
      <w:jc w:val="left"/>
      <w:rPr>
        <w:sz w:val="20"/>
      </w:rPr>
    </w:pPr>
    <w:r w:rsidRPr="00375282">
      <w:rPr>
        <w:sz w:val="20"/>
      </w:rPr>
      <w:t>22 05 33</w:t>
    </w:r>
  </w:p>
  <w:p w:rsidR="00375282" w:rsidRPr="00375282" w:rsidRDefault="00375282" w:rsidP="00946C52">
    <w:pPr>
      <w:pStyle w:val="Footer"/>
      <w:jc w:val="left"/>
      <w:rPr>
        <w:sz w:val="20"/>
      </w:rPr>
    </w:pPr>
    <w:r w:rsidRPr="00375282">
      <w:rPr>
        <w:sz w:val="20"/>
      </w:rPr>
      <w:fldChar w:fldCharType="begin"/>
    </w:r>
    <w:r w:rsidRPr="00375282">
      <w:rPr>
        <w:sz w:val="20"/>
      </w:rPr>
      <w:instrText xml:space="preserve"> PAGE   \* MERGEFORMAT </w:instrText>
    </w:r>
    <w:r w:rsidRPr="00375282">
      <w:rPr>
        <w:sz w:val="20"/>
      </w:rPr>
      <w:fldChar w:fldCharType="separate"/>
    </w:r>
    <w:r w:rsidR="00255C1A">
      <w:rPr>
        <w:noProof/>
        <w:sz w:val="20"/>
      </w:rPr>
      <w:t>4</w:t>
    </w:r>
    <w:r w:rsidRPr="00375282">
      <w:rPr>
        <w:noProof/>
        <w:sz w:val="20"/>
      </w:rPr>
      <w:fldChar w:fldCharType="end"/>
    </w:r>
    <w:r w:rsidRPr="00375282">
      <w:rPr>
        <w:noProof/>
        <w:sz w:val="20"/>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C2B" w:rsidRPr="00375282" w:rsidRDefault="00093C2B" w:rsidP="00093C2B">
    <w:pPr>
      <w:pStyle w:val="Footer"/>
      <w:jc w:val="right"/>
      <w:rPr>
        <w:sz w:val="20"/>
      </w:rPr>
    </w:pPr>
    <w:r w:rsidRPr="00375282">
      <w:rPr>
        <w:sz w:val="20"/>
      </w:rPr>
      <w:t>HEAT TRACING FOR PLUMBING PIPING</w:t>
    </w:r>
  </w:p>
  <w:p w:rsidR="008B6304" w:rsidRPr="00375282" w:rsidRDefault="008B6304" w:rsidP="00946C52">
    <w:pPr>
      <w:pStyle w:val="Footer"/>
      <w:jc w:val="right"/>
      <w:rPr>
        <w:sz w:val="20"/>
      </w:rPr>
    </w:pPr>
    <w:r w:rsidRPr="00375282">
      <w:rPr>
        <w:sz w:val="20"/>
      </w:rPr>
      <w:t>22 05 33</w:t>
    </w:r>
  </w:p>
  <w:p w:rsidR="0097139A" w:rsidRPr="00375282" w:rsidRDefault="008B6304" w:rsidP="00946C52">
    <w:pPr>
      <w:pStyle w:val="Footer"/>
      <w:jc w:val="right"/>
      <w:rPr>
        <w:sz w:val="20"/>
      </w:rPr>
    </w:pPr>
    <w:r w:rsidRPr="00375282">
      <w:rPr>
        <w:sz w:val="20"/>
      </w:rPr>
      <w:fldChar w:fldCharType="begin"/>
    </w:r>
    <w:r w:rsidRPr="00375282">
      <w:rPr>
        <w:sz w:val="20"/>
      </w:rPr>
      <w:instrText xml:space="preserve"> PAGE   \* MERGEFORMAT </w:instrText>
    </w:r>
    <w:r w:rsidRPr="00375282">
      <w:rPr>
        <w:sz w:val="20"/>
      </w:rPr>
      <w:fldChar w:fldCharType="separate"/>
    </w:r>
    <w:r w:rsidR="00255C1A">
      <w:rPr>
        <w:noProof/>
        <w:sz w:val="20"/>
      </w:rPr>
      <w:t>3</w:t>
    </w:r>
    <w:r w:rsidRPr="00375282">
      <w:rPr>
        <w:noProof/>
        <w:sz w:val="20"/>
      </w:rPr>
      <w:fldChar w:fldCharType="end"/>
    </w:r>
    <w:r w:rsidRPr="00375282">
      <w:rPr>
        <w:noProof/>
        <w:sz w:val="20"/>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F78" w:rsidRDefault="00056F78">
      <w:r>
        <w:separator/>
      </w:r>
    </w:p>
  </w:footnote>
  <w:footnote w:type="continuationSeparator" w:id="0">
    <w:p w:rsidR="00056F78" w:rsidRDefault="00056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67C" w:rsidRPr="00D0767C" w:rsidRDefault="00D0767C" w:rsidP="00D0767C">
    <w:pPr>
      <w:tabs>
        <w:tab w:val="center" w:pos="4608"/>
        <w:tab w:val="right" w:pos="9360"/>
      </w:tabs>
      <w:suppressAutoHyphen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AAAE454"/>
    <w:lvl w:ilvl="0">
      <w:start w:val="1"/>
      <w:numFmt w:val="decimal"/>
      <w:pStyle w:val="PRT"/>
      <w:suff w:val="nothing"/>
      <w:lvlText w:val="PART %1 - "/>
      <w:lvlJc w:val="left"/>
      <w:pPr>
        <w:ind w:left="540" w:firstLine="0"/>
      </w:pPr>
      <w:rPr>
        <w:rFonts w:ascii="Arial" w:hAnsi="Arial" w:cs="Arial" w:hint="default"/>
        <w:b/>
        <w:bCs w:val="0"/>
        <w:i w:val="0"/>
        <w:iCs w:val="0"/>
        <w:caps w:val="0"/>
        <w:smallCaps w:val="0"/>
        <w:strike w:val="0"/>
        <w:dstrike w:val="0"/>
        <w:outline w:val="0"/>
        <w:shadow w:val="0"/>
        <w:emboss w:val="0"/>
        <w:imprint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w:hAnsi="Arial" w:cs="Arial" w:hint="default"/>
        <w:b/>
        <w:sz w:val="20"/>
        <w:szCs w:val="20"/>
      </w:rPr>
    </w:lvl>
    <w:lvl w:ilvl="4">
      <w:start w:val="1"/>
      <w:numFmt w:val="upperLetter"/>
      <w:pStyle w:val="PR1"/>
      <w:lvlText w:val="%5."/>
      <w:lvlJc w:val="left"/>
      <w:pPr>
        <w:tabs>
          <w:tab w:val="num" w:pos="864"/>
        </w:tabs>
        <w:ind w:left="864" w:hanging="576"/>
      </w:pPr>
      <w:rPr>
        <w:rFonts w:ascii="Arial" w:eastAsia="Times New Roman" w:hAnsi="Arial" w:cs="Times New Roman" w:hint="default"/>
        <w:sz w:val="20"/>
        <w:szCs w:val="20"/>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09A09F3"/>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1044"/>
        </w:tabs>
        <w:ind w:left="104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1235352E"/>
    <w:multiLevelType w:val="multilevel"/>
    <w:tmpl w:val="07EEA880"/>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ascii="Times New Roman" w:hAnsi="Times New Roman" w:hint="default"/>
        <w:b/>
        <w:sz w:val="22"/>
        <w:szCs w:val="22"/>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 w15:restartNumberingAfterBreak="0">
    <w:nsid w:val="1382281F"/>
    <w:multiLevelType w:val="multilevel"/>
    <w:tmpl w:val="473C3654"/>
    <w:lvl w:ilvl="0">
      <w:start w:val="1"/>
      <w:numFmt w:val="decimal"/>
      <w:suff w:val="nothing"/>
      <w:lvlText w:val="PART %1 - "/>
      <w:lvlJc w:val="left"/>
      <w:pPr>
        <w:ind w:left="0" w:firstLine="0"/>
      </w:pPr>
      <w:rPr>
        <w:rFonts w:ascii="Arial" w:hAnsi="Arial" w:cs="Arial"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4" w15:restartNumberingAfterBreak="0">
    <w:nsid w:val="33EE5ED5"/>
    <w:multiLevelType w:val="multilevel"/>
    <w:tmpl w:val="C966F7C0"/>
    <w:lvl w:ilvl="0">
      <w:start w:val="1"/>
      <w:numFmt w:val="decimal"/>
      <w:suff w:val="nothing"/>
      <w:lvlText w:val="PART %1 - "/>
      <w:lvlJc w:val="left"/>
      <w:pPr>
        <w:ind w:left="0" w:firstLine="0"/>
      </w:pPr>
      <w:rPr>
        <w:rFonts w:ascii="Times New Roman" w:hAnsi="Times New Roman" w:cs="Arial"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1224"/>
        </w:tabs>
        <w:ind w:left="1224" w:hanging="864"/>
      </w:pPr>
      <w:rPr>
        <w:rFonts w:hint="default"/>
        <w:b/>
        <w:szCs w:val="22"/>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 w15:restartNumberingAfterBreak="0">
    <w:nsid w:val="3F711140"/>
    <w:multiLevelType w:val="multilevel"/>
    <w:tmpl w:val="8FFAE738"/>
    <w:lvl w:ilvl="0">
      <w:start w:val="1"/>
      <w:numFmt w:val="decimal"/>
      <w:suff w:val="nothing"/>
      <w:lvlText w:val="PART %1 -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1224"/>
        </w:tabs>
        <w:ind w:left="1224" w:hanging="864"/>
      </w:pPr>
      <w:rPr>
        <w:rFonts w:hint="default"/>
        <w:b/>
        <w:szCs w:val="22"/>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6" w15:restartNumberingAfterBreak="0">
    <w:nsid w:val="41FA4612"/>
    <w:multiLevelType w:val="multilevel"/>
    <w:tmpl w:val="C966F7C0"/>
    <w:lvl w:ilvl="0">
      <w:start w:val="1"/>
      <w:numFmt w:val="decimal"/>
      <w:suff w:val="nothing"/>
      <w:lvlText w:val="PART %1 - "/>
      <w:lvlJc w:val="left"/>
      <w:pPr>
        <w:ind w:left="0" w:firstLine="0"/>
      </w:pPr>
      <w:rPr>
        <w:rFonts w:ascii="Times New Roman" w:hAnsi="Times New Roman" w:cs="Arial"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1224"/>
        </w:tabs>
        <w:ind w:left="1224" w:hanging="864"/>
      </w:pPr>
      <w:rPr>
        <w:rFonts w:hint="default"/>
        <w:b/>
        <w:szCs w:val="22"/>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7" w15:restartNumberingAfterBreak="0">
    <w:nsid w:val="74441D44"/>
    <w:multiLevelType w:val="multilevel"/>
    <w:tmpl w:val="D9D8B35C"/>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0"/>
        </w:tabs>
        <w:ind w:left="0" w:firstLine="0"/>
      </w:pPr>
      <w:rPr>
        <w:rFonts w:ascii="Times New Roman" w:hAnsi="Times New Roman" w:hint="default"/>
        <w:b/>
        <w:sz w:val="22"/>
        <w:szCs w:val="22"/>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evenAndOddHeader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57"/>
    <w:rsid w:val="00034B96"/>
    <w:rsid w:val="000375AD"/>
    <w:rsid w:val="0004718E"/>
    <w:rsid w:val="000521CB"/>
    <w:rsid w:val="00056F78"/>
    <w:rsid w:val="000869D6"/>
    <w:rsid w:val="0009374B"/>
    <w:rsid w:val="00093C2B"/>
    <w:rsid w:val="000A5E44"/>
    <w:rsid w:val="000A623B"/>
    <w:rsid w:val="000B564B"/>
    <w:rsid w:val="000D4D7B"/>
    <w:rsid w:val="00112D5E"/>
    <w:rsid w:val="0011400E"/>
    <w:rsid w:val="00122FAC"/>
    <w:rsid w:val="00127F67"/>
    <w:rsid w:val="00133C25"/>
    <w:rsid w:val="001528BF"/>
    <w:rsid w:val="00196D5D"/>
    <w:rsid w:val="00255C1A"/>
    <w:rsid w:val="002757F4"/>
    <w:rsid w:val="002A68DB"/>
    <w:rsid w:val="002C0D73"/>
    <w:rsid w:val="002C31A4"/>
    <w:rsid w:val="002E05B0"/>
    <w:rsid w:val="002F5E4A"/>
    <w:rsid w:val="002F65E9"/>
    <w:rsid w:val="00334E12"/>
    <w:rsid w:val="00357DB5"/>
    <w:rsid w:val="00370853"/>
    <w:rsid w:val="00375282"/>
    <w:rsid w:val="00383E21"/>
    <w:rsid w:val="00391CB5"/>
    <w:rsid w:val="00394E65"/>
    <w:rsid w:val="00397B17"/>
    <w:rsid w:val="003B4CD9"/>
    <w:rsid w:val="003B5678"/>
    <w:rsid w:val="003C250F"/>
    <w:rsid w:val="003D2277"/>
    <w:rsid w:val="003E2E3B"/>
    <w:rsid w:val="00402B4A"/>
    <w:rsid w:val="00406FB9"/>
    <w:rsid w:val="00463C98"/>
    <w:rsid w:val="004655AA"/>
    <w:rsid w:val="00484BF3"/>
    <w:rsid w:val="00487FA0"/>
    <w:rsid w:val="00495DD5"/>
    <w:rsid w:val="004B453F"/>
    <w:rsid w:val="004C2F47"/>
    <w:rsid w:val="004D0738"/>
    <w:rsid w:val="004E44CC"/>
    <w:rsid w:val="004F0FEA"/>
    <w:rsid w:val="00551223"/>
    <w:rsid w:val="005A2A38"/>
    <w:rsid w:val="005B0D5B"/>
    <w:rsid w:val="005B3E2C"/>
    <w:rsid w:val="005C3CE4"/>
    <w:rsid w:val="00633821"/>
    <w:rsid w:val="0065114C"/>
    <w:rsid w:val="00657727"/>
    <w:rsid w:val="00670BB5"/>
    <w:rsid w:val="006866EE"/>
    <w:rsid w:val="006E0696"/>
    <w:rsid w:val="006F3A76"/>
    <w:rsid w:val="00707F5E"/>
    <w:rsid w:val="00713433"/>
    <w:rsid w:val="007476D5"/>
    <w:rsid w:val="007638B7"/>
    <w:rsid w:val="00773D60"/>
    <w:rsid w:val="0078638E"/>
    <w:rsid w:val="00787B68"/>
    <w:rsid w:val="007A39D5"/>
    <w:rsid w:val="007B2161"/>
    <w:rsid w:val="007D32F9"/>
    <w:rsid w:val="007E080B"/>
    <w:rsid w:val="007E1C6A"/>
    <w:rsid w:val="007E6EA8"/>
    <w:rsid w:val="00807D1C"/>
    <w:rsid w:val="00824CF2"/>
    <w:rsid w:val="008A3A65"/>
    <w:rsid w:val="008A721E"/>
    <w:rsid w:val="008B6304"/>
    <w:rsid w:val="008C36F0"/>
    <w:rsid w:val="008E05FB"/>
    <w:rsid w:val="008E1253"/>
    <w:rsid w:val="008E32A8"/>
    <w:rsid w:val="008F43F8"/>
    <w:rsid w:val="00910DD0"/>
    <w:rsid w:val="009144FF"/>
    <w:rsid w:val="0091756A"/>
    <w:rsid w:val="00944B41"/>
    <w:rsid w:val="00946C52"/>
    <w:rsid w:val="00961AB4"/>
    <w:rsid w:val="00962D41"/>
    <w:rsid w:val="0097139A"/>
    <w:rsid w:val="009858E5"/>
    <w:rsid w:val="00991F9E"/>
    <w:rsid w:val="009946E1"/>
    <w:rsid w:val="009A1740"/>
    <w:rsid w:val="009A7734"/>
    <w:rsid w:val="009A7A13"/>
    <w:rsid w:val="009C4F2C"/>
    <w:rsid w:val="00A46F01"/>
    <w:rsid w:val="00A53329"/>
    <w:rsid w:val="00A5733C"/>
    <w:rsid w:val="00A611DE"/>
    <w:rsid w:val="00A64593"/>
    <w:rsid w:val="00A81843"/>
    <w:rsid w:val="00AA4857"/>
    <w:rsid w:val="00AB5359"/>
    <w:rsid w:val="00AB57D8"/>
    <w:rsid w:val="00AC31AA"/>
    <w:rsid w:val="00AD570C"/>
    <w:rsid w:val="00AE5567"/>
    <w:rsid w:val="00B0602E"/>
    <w:rsid w:val="00B26367"/>
    <w:rsid w:val="00B3264D"/>
    <w:rsid w:val="00B42472"/>
    <w:rsid w:val="00B44C96"/>
    <w:rsid w:val="00B7775D"/>
    <w:rsid w:val="00B7787D"/>
    <w:rsid w:val="00B86491"/>
    <w:rsid w:val="00B9768A"/>
    <w:rsid w:val="00BA4B4A"/>
    <w:rsid w:val="00BD66CE"/>
    <w:rsid w:val="00C151B6"/>
    <w:rsid w:val="00C25D2F"/>
    <w:rsid w:val="00C75B60"/>
    <w:rsid w:val="00C80CC0"/>
    <w:rsid w:val="00C8258B"/>
    <w:rsid w:val="00C92458"/>
    <w:rsid w:val="00CA4059"/>
    <w:rsid w:val="00CB2256"/>
    <w:rsid w:val="00CC1440"/>
    <w:rsid w:val="00CF18B8"/>
    <w:rsid w:val="00D00852"/>
    <w:rsid w:val="00D0767C"/>
    <w:rsid w:val="00D2193E"/>
    <w:rsid w:val="00D41562"/>
    <w:rsid w:val="00D51DE6"/>
    <w:rsid w:val="00D62BD5"/>
    <w:rsid w:val="00D73BD5"/>
    <w:rsid w:val="00DB1B2D"/>
    <w:rsid w:val="00DE5AD1"/>
    <w:rsid w:val="00DE6E2F"/>
    <w:rsid w:val="00E12D07"/>
    <w:rsid w:val="00E2058C"/>
    <w:rsid w:val="00E3354F"/>
    <w:rsid w:val="00E55417"/>
    <w:rsid w:val="00E57A47"/>
    <w:rsid w:val="00E92DBA"/>
    <w:rsid w:val="00E957B0"/>
    <w:rsid w:val="00EA2969"/>
    <w:rsid w:val="00EC0E06"/>
    <w:rsid w:val="00ED5D45"/>
    <w:rsid w:val="00EE4916"/>
    <w:rsid w:val="00EE7F7F"/>
    <w:rsid w:val="00EF66AD"/>
    <w:rsid w:val="00F07B06"/>
    <w:rsid w:val="00F1540B"/>
    <w:rsid w:val="00F376F2"/>
    <w:rsid w:val="00F65AC4"/>
    <w:rsid w:val="00F81DBB"/>
    <w:rsid w:val="00F96833"/>
    <w:rsid w:val="00FA399C"/>
    <w:rsid w:val="00FA5209"/>
    <w:rsid w:val="00FA72B4"/>
    <w:rsid w:val="00FB29A8"/>
    <w:rsid w:val="00FE1670"/>
    <w:rsid w:val="00FE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41995"/>
  <w15:chartTrackingRefBased/>
  <w15:docId w15:val="{D86586C3-A70B-464C-81DA-192C2BCF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756A"/>
    <w:pPr>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pPr>
  </w:style>
  <w:style w:type="paragraph" w:customStyle="1" w:styleId="FTR">
    <w:name w:val="FTR"/>
    <w:basedOn w:val="Normal"/>
    <w:pPr>
      <w:tabs>
        <w:tab w:val="right" w:pos="9360"/>
      </w:tabs>
      <w:suppressAutoHyphens/>
    </w:pPr>
  </w:style>
  <w:style w:type="paragraph" w:customStyle="1" w:styleId="SCT">
    <w:name w:val="SCT"/>
    <w:basedOn w:val="Normal"/>
    <w:next w:val="PRT"/>
    <w:pPr>
      <w:suppressAutoHyphens/>
      <w:spacing w:before="240"/>
    </w:pPr>
  </w:style>
  <w:style w:type="paragraph" w:customStyle="1" w:styleId="PRT">
    <w:name w:val="PRT"/>
    <w:basedOn w:val="Normal"/>
    <w:next w:val="ART"/>
    <w:rsid w:val="0091756A"/>
    <w:pPr>
      <w:keepNext/>
      <w:numPr>
        <w:numId w:val="1"/>
      </w:numPr>
      <w:suppressAutoHyphens/>
      <w:spacing w:before="240"/>
      <w:outlineLvl w:val="0"/>
    </w:pPr>
    <w:rPr>
      <w:rFonts w:cs="Arial"/>
      <w:szCs w:val="24"/>
    </w:rPr>
  </w:style>
  <w:style w:type="paragraph" w:customStyle="1" w:styleId="SUT">
    <w:name w:val="SUT"/>
    <w:basedOn w:val="Normal"/>
    <w:next w:val="PR1"/>
    <w:pPr>
      <w:numPr>
        <w:ilvl w:val="1"/>
        <w:numId w:val="1"/>
      </w:numPr>
      <w:suppressAutoHyphens/>
      <w:spacing w:before="240"/>
      <w:outlineLvl w:val="0"/>
    </w:pPr>
  </w:style>
  <w:style w:type="paragraph" w:customStyle="1" w:styleId="DST">
    <w:name w:val="DST"/>
    <w:basedOn w:val="Normal"/>
    <w:next w:val="PR1"/>
    <w:pPr>
      <w:numPr>
        <w:ilvl w:val="2"/>
        <w:numId w:val="1"/>
      </w:numPr>
      <w:suppressAutoHyphens/>
      <w:spacing w:before="240"/>
      <w:outlineLvl w:val="0"/>
    </w:pPr>
  </w:style>
  <w:style w:type="paragraph" w:customStyle="1" w:styleId="ART">
    <w:name w:val="ART"/>
    <w:basedOn w:val="Normal"/>
    <w:next w:val="PR1"/>
    <w:rsid w:val="0091756A"/>
    <w:pPr>
      <w:keepNext/>
      <w:numPr>
        <w:ilvl w:val="3"/>
        <w:numId w:val="1"/>
      </w:numPr>
      <w:tabs>
        <w:tab w:val="left" w:pos="1044"/>
      </w:tabs>
      <w:suppressAutoHyphens/>
      <w:spacing w:before="240"/>
      <w:outlineLvl w:val="1"/>
    </w:pPr>
    <w:rPr>
      <w:szCs w:val="24"/>
    </w:rPr>
  </w:style>
  <w:style w:type="paragraph" w:customStyle="1" w:styleId="PR1">
    <w:name w:val="PR1"/>
    <w:basedOn w:val="Normal"/>
    <w:rsid w:val="0091756A"/>
    <w:pPr>
      <w:numPr>
        <w:ilvl w:val="4"/>
        <w:numId w:val="1"/>
      </w:numPr>
      <w:suppressAutoHyphens/>
      <w:spacing w:before="240"/>
      <w:outlineLvl w:val="2"/>
    </w:pPr>
  </w:style>
  <w:style w:type="paragraph" w:customStyle="1" w:styleId="PR2">
    <w:name w:val="PR2"/>
    <w:basedOn w:val="Normal"/>
    <w:rsid w:val="0091756A"/>
    <w:pPr>
      <w:numPr>
        <w:ilvl w:val="5"/>
        <w:numId w:val="1"/>
      </w:numPr>
      <w:suppressAutoHyphens/>
      <w:outlineLvl w:val="3"/>
    </w:pPr>
    <w:rPr>
      <w:rFonts w:cs="Arial"/>
      <w:szCs w:val="24"/>
    </w:rPr>
  </w:style>
  <w:style w:type="paragraph" w:customStyle="1" w:styleId="PR3">
    <w:name w:val="PR3"/>
    <w:basedOn w:val="Normal"/>
    <w:pPr>
      <w:numPr>
        <w:ilvl w:val="6"/>
        <w:numId w:val="1"/>
      </w:numPr>
      <w:suppressAutoHyphens/>
      <w:outlineLvl w:val="4"/>
    </w:pPr>
  </w:style>
  <w:style w:type="paragraph" w:customStyle="1" w:styleId="PR4">
    <w:name w:val="PR4"/>
    <w:basedOn w:val="Normal"/>
    <w:pPr>
      <w:numPr>
        <w:ilvl w:val="7"/>
        <w:numId w:val="1"/>
      </w:numPr>
      <w:suppressAutoHyphens/>
      <w:outlineLvl w:val="5"/>
    </w:pPr>
  </w:style>
  <w:style w:type="paragraph" w:customStyle="1" w:styleId="PR5">
    <w:name w:val="PR5"/>
    <w:basedOn w:val="Normal"/>
    <w:pPr>
      <w:numPr>
        <w:ilvl w:val="8"/>
        <w:numId w:val="1"/>
      </w:numPr>
      <w:suppressAutoHyphens/>
      <w:outlineLvl w:val="6"/>
    </w:pPr>
  </w:style>
  <w:style w:type="paragraph" w:customStyle="1" w:styleId="TB1">
    <w:name w:val="TB1"/>
    <w:basedOn w:val="Normal"/>
    <w:next w:val="PR1"/>
    <w:pPr>
      <w:suppressAutoHyphens/>
      <w:spacing w:before="240"/>
      <w:ind w:left="288"/>
    </w:pPr>
  </w:style>
  <w:style w:type="paragraph" w:customStyle="1" w:styleId="TB2">
    <w:name w:val="TB2"/>
    <w:basedOn w:val="Normal"/>
    <w:next w:val="PR2"/>
    <w:pPr>
      <w:suppressAutoHyphens/>
      <w:spacing w:before="240"/>
      <w:ind w:left="864"/>
    </w:pPr>
  </w:style>
  <w:style w:type="paragraph" w:customStyle="1" w:styleId="TB3">
    <w:name w:val="TB3"/>
    <w:basedOn w:val="Normal"/>
    <w:next w:val="PR3"/>
    <w:pPr>
      <w:suppressAutoHyphens/>
      <w:spacing w:before="240"/>
      <w:ind w:left="1440"/>
    </w:pPr>
  </w:style>
  <w:style w:type="paragraph" w:customStyle="1" w:styleId="TB4">
    <w:name w:val="TB4"/>
    <w:basedOn w:val="Normal"/>
    <w:next w:val="PR4"/>
    <w:pPr>
      <w:suppressAutoHyphens/>
      <w:spacing w:before="240"/>
      <w:ind w:left="2016"/>
    </w:pPr>
  </w:style>
  <w:style w:type="paragraph" w:customStyle="1" w:styleId="TB5">
    <w:name w:val="TB5"/>
    <w:basedOn w:val="Normal"/>
    <w:next w:val="PR5"/>
    <w:pPr>
      <w:suppressAutoHyphens/>
      <w:spacing w:before="240"/>
      <w:ind w:left="2592"/>
    </w:pPr>
  </w:style>
  <w:style w:type="paragraph" w:customStyle="1" w:styleId="TF1">
    <w:name w:val="TF1"/>
    <w:basedOn w:val="Normal"/>
    <w:next w:val="TB1"/>
    <w:pPr>
      <w:suppressAutoHyphens/>
      <w:spacing w:before="240"/>
      <w:ind w:left="288"/>
    </w:pPr>
  </w:style>
  <w:style w:type="paragraph" w:customStyle="1" w:styleId="TF2">
    <w:name w:val="TF2"/>
    <w:basedOn w:val="Normal"/>
    <w:next w:val="TB2"/>
    <w:pPr>
      <w:suppressAutoHyphens/>
      <w:spacing w:before="240"/>
      <w:ind w:left="864"/>
    </w:pPr>
  </w:style>
  <w:style w:type="paragraph" w:customStyle="1" w:styleId="TF3">
    <w:name w:val="TF3"/>
    <w:basedOn w:val="Normal"/>
    <w:next w:val="TB3"/>
    <w:pPr>
      <w:suppressAutoHyphens/>
      <w:spacing w:before="240"/>
      <w:ind w:left="1440"/>
    </w:pPr>
  </w:style>
  <w:style w:type="paragraph" w:customStyle="1" w:styleId="TF4">
    <w:name w:val="TF4"/>
    <w:basedOn w:val="Normal"/>
    <w:next w:val="TB4"/>
    <w:pPr>
      <w:suppressAutoHyphens/>
      <w:spacing w:before="240"/>
      <w:ind w:left="2016"/>
    </w:pPr>
  </w:style>
  <w:style w:type="paragraph" w:customStyle="1" w:styleId="TF5">
    <w:name w:val="TF5"/>
    <w:basedOn w:val="Normal"/>
    <w:next w:val="TB5"/>
    <w:pPr>
      <w:suppressAutoHyphens/>
      <w:spacing w:before="240"/>
      <w:ind w:left="2592"/>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pPr>
  </w:style>
  <w:style w:type="paragraph" w:customStyle="1" w:styleId="ANT">
    <w:name w:val="ANT"/>
    <w:basedOn w:val="Normal"/>
    <w:pPr>
      <w:suppressAutoHyphens/>
      <w:spacing w:before="240"/>
    </w:pPr>
    <w:rPr>
      <w:vanish/>
      <w:color w:val="800080"/>
      <w:u w:val="single"/>
    </w:rPr>
  </w:style>
  <w:style w:type="paragraph" w:customStyle="1" w:styleId="CMT">
    <w:name w:val="CMT"/>
    <w:basedOn w:val="Normal"/>
    <w:pPr>
      <w:suppressAutoHyphens/>
      <w:spacing w:before="240"/>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rsid w:val="00944B41"/>
    <w:pPr>
      <w:tabs>
        <w:tab w:val="center" w:pos="4320"/>
        <w:tab w:val="right" w:pos="8640"/>
      </w:tabs>
    </w:pPr>
    <w:rPr>
      <w:lang w:val="x-none" w:eastAsia="x-none"/>
    </w:rPr>
  </w:style>
  <w:style w:type="paragraph" w:styleId="Footer">
    <w:name w:val="footer"/>
    <w:basedOn w:val="Normal"/>
    <w:link w:val="FooterChar"/>
    <w:uiPriority w:val="99"/>
    <w:rsid w:val="00944B41"/>
    <w:pPr>
      <w:tabs>
        <w:tab w:val="center" w:pos="4320"/>
        <w:tab w:val="right" w:pos="8640"/>
      </w:tabs>
    </w:pPr>
    <w:rPr>
      <w:lang w:val="x-none" w:eastAsia="x-none"/>
    </w:rPr>
  </w:style>
  <w:style w:type="character" w:styleId="PageNumber">
    <w:name w:val="page number"/>
    <w:basedOn w:val="DefaultParagraphFont"/>
    <w:rsid w:val="007D32F9"/>
  </w:style>
  <w:style w:type="paragraph" w:customStyle="1" w:styleId="StyleARTVerdana10pt">
    <w:name w:val="Style ART + Verdana 10 pt"/>
    <w:basedOn w:val="ART"/>
    <w:rsid w:val="007D32F9"/>
    <w:pPr>
      <w:spacing w:before="360"/>
    </w:pPr>
    <w:rPr>
      <w:rFonts w:ascii="Verdana" w:hAnsi="Verdana"/>
      <w:sz w:val="20"/>
    </w:rPr>
  </w:style>
  <w:style w:type="paragraph" w:customStyle="1" w:styleId="StylePR1Verdana10pt">
    <w:name w:val="Style PR1 + Verdana 10 pt"/>
    <w:basedOn w:val="PR1"/>
    <w:rsid w:val="007D32F9"/>
    <w:pPr>
      <w:spacing w:before="120"/>
    </w:pPr>
    <w:rPr>
      <w:rFonts w:ascii="Verdana" w:hAnsi="Verdana"/>
      <w:sz w:val="20"/>
    </w:rPr>
  </w:style>
  <w:style w:type="character" w:customStyle="1" w:styleId="HeaderChar">
    <w:name w:val="Header Char"/>
    <w:link w:val="Header"/>
    <w:uiPriority w:val="99"/>
    <w:rsid w:val="00D0767C"/>
    <w:rPr>
      <w:rFonts w:ascii="Arial" w:hAnsi="Arial"/>
      <w:sz w:val="22"/>
    </w:rPr>
  </w:style>
  <w:style w:type="paragraph" w:customStyle="1" w:styleId="Title1">
    <w:name w:val="Title1"/>
    <w:basedOn w:val="Normal"/>
    <w:autoRedefine/>
    <w:rsid w:val="00C151B6"/>
    <w:pPr>
      <w:widowControl w:val="0"/>
      <w:jc w:val="left"/>
    </w:pPr>
    <w:rPr>
      <w:b/>
      <w:bCs/>
      <w:iCs/>
      <w:caps/>
      <w:sz w:val="20"/>
    </w:rPr>
  </w:style>
  <w:style w:type="character" w:customStyle="1" w:styleId="FooterChar">
    <w:name w:val="Footer Char"/>
    <w:link w:val="Footer"/>
    <w:uiPriority w:val="99"/>
    <w:rsid w:val="008B6304"/>
    <w:rPr>
      <w:rFonts w:ascii="Arial" w:hAnsi="Arial"/>
      <w:sz w:val="22"/>
    </w:rPr>
  </w:style>
  <w:style w:type="paragraph" w:styleId="BodyText">
    <w:name w:val="Body Text"/>
    <w:basedOn w:val="Normal"/>
    <w:link w:val="BodyTextChar"/>
    <w:rsid w:val="00255C1A"/>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 w:val="20"/>
    </w:rPr>
  </w:style>
  <w:style w:type="character" w:customStyle="1" w:styleId="BodyTextChar">
    <w:name w:val="Body Text Char"/>
    <w:basedOn w:val="DefaultParagraphFont"/>
    <w:link w:val="BodyText"/>
    <w:rsid w:val="00255C1A"/>
    <w:rPr>
      <w:rFonts w:ascii="Helvetica" w:hAnsi="Helvetica"/>
      <w:i/>
    </w:rPr>
  </w:style>
  <w:style w:type="table" w:customStyle="1" w:styleId="TableGrid1">
    <w:name w:val="Table Grid1"/>
    <w:basedOn w:val="TableNormal"/>
    <w:next w:val="TableGrid"/>
    <w:uiPriority w:val="59"/>
    <w:rsid w:val="00255C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55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7284">
      <w:bodyDiv w:val="1"/>
      <w:marLeft w:val="0"/>
      <w:marRight w:val="0"/>
      <w:marTop w:val="0"/>
      <w:marBottom w:val="0"/>
      <w:divBdr>
        <w:top w:val="none" w:sz="0" w:space="0" w:color="auto"/>
        <w:left w:val="none" w:sz="0" w:space="0" w:color="auto"/>
        <w:bottom w:val="none" w:sz="0" w:space="0" w:color="auto"/>
        <w:right w:val="none" w:sz="0" w:space="0" w:color="auto"/>
      </w:divBdr>
    </w:div>
    <w:div w:id="397286176">
      <w:bodyDiv w:val="1"/>
      <w:marLeft w:val="0"/>
      <w:marRight w:val="0"/>
      <w:marTop w:val="0"/>
      <w:marBottom w:val="0"/>
      <w:divBdr>
        <w:top w:val="none" w:sz="0" w:space="0" w:color="auto"/>
        <w:left w:val="none" w:sz="0" w:space="0" w:color="auto"/>
        <w:bottom w:val="none" w:sz="0" w:space="0" w:color="auto"/>
        <w:right w:val="none" w:sz="0" w:space="0" w:color="auto"/>
      </w:divBdr>
    </w:div>
    <w:div w:id="1229851821">
      <w:bodyDiv w:val="1"/>
      <w:marLeft w:val="0"/>
      <w:marRight w:val="0"/>
      <w:marTop w:val="0"/>
      <w:marBottom w:val="0"/>
      <w:divBdr>
        <w:top w:val="none" w:sz="0" w:space="0" w:color="auto"/>
        <w:left w:val="none" w:sz="0" w:space="0" w:color="auto"/>
        <w:bottom w:val="none" w:sz="0" w:space="0" w:color="auto"/>
        <w:right w:val="none" w:sz="0" w:space="0" w:color="auto"/>
      </w:divBdr>
    </w:div>
    <w:div w:id="1733504445">
      <w:bodyDiv w:val="1"/>
      <w:marLeft w:val="0"/>
      <w:marRight w:val="0"/>
      <w:marTop w:val="0"/>
      <w:marBottom w:val="0"/>
      <w:divBdr>
        <w:top w:val="none" w:sz="0" w:space="0" w:color="auto"/>
        <w:left w:val="none" w:sz="0" w:space="0" w:color="auto"/>
        <w:bottom w:val="none" w:sz="0" w:space="0" w:color="auto"/>
        <w:right w:val="none" w:sz="0" w:space="0" w:color="auto"/>
      </w:divBdr>
    </w:div>
    <w:div w:id="1760560724">
      <w:bodyDiv w:val="1"/>
      <w:marLeft w:val="0"/>
      <w:marRight w:val="0"/>
      <w:marTop w:val="0"/>
      <w:marBottom w:val="0"/>
      <w:divBdr>
        <w:top w:val="none" w:sz="0" w:space="0" w:color="auto"/>
        <w:left w:val="none" w:sz="0" w:space="0" w:color="auto"/>
        <w:bottom w:val="none" w:sz="0" w:space="0" w:color="auto"/>
        <w:right w:val="none" w:sz="0" w:space="0" w:color="auto"/>
      </w:divBdr>
    </w:div>
    <w:div w:id="1781295597">
      <w:bodyDiv w:val="1"/>
      <w:marLeft w:val="0"/>
      <w:marRight w:val="0"/>
      <w:marTop w:val="0"/>
      <w:marBottom w:val="0"/>
      <w:divBdr>
        <w:top w:val="none" w:sz="0" w:space="0" w:color="auto"/>
        <w:left w:val="none" w:sz="0" w:space="0" w:color="auto"/>
        <w:bottom w:val="none" w:sz="0" w:space="0" w:color="auto"/>
        <w:right w:val="none" w:sz="0" w:space="0" w:color="auto"/>
      </w:divBdr>
    </w:div>
    <w:div w:id="1792552676">
      <w:bodyDiv w:val="1"/>
      <w:marLeft w:val="0"/>
      <w:marRight w:val="0"/>
      <w:marTop w:val="0"/>
      <w:marBottom w:val="0"/>
      <w:divBdr>
        <w:top w:val="none" w:sz="0" w:space="0" w:color="auto"/>
        <w:left w:val="none" w:sz="0" w:space="0" w:color="auto"/>
        <w:bottom w:val="none" w:sz="0" w:space="0" w:color="auto"/>
        <w:right w:val="none" w:sz="0" w:space="0" w:color="auto"/>
      </w:divBdr>
    </w:div>
    <w:div w:id="1840580482">
      <w:bodyDiv w:val="1"/>
      <w:marLeft w:val="0"/>
      <w:marRight w:val="0"/>
      <w:marTop w:val="0"/>
      <w:marBottom w:val="0"/>
      <w:divBdr>
        <w:top w:val="none" w:sz="0" w:space="0" w:color="auto"/>
        <w:left w:val="none" w:sz="0" w:space="0" w:color="auto"/>
        <w:bottom w:val="none" w:sz="0" w:space="0" w:color="auto"/>
        <w:right w:val="none" w:sz="0" w:space="0" w:color="auto"/>
      </w:divBdr>
    </w:div>
    <w:div w:id="1955944915">
      <w:bodyDiv w:val="1"/>
      <w:marLeft w:val="0"/>
      <w:marRight w:val="0"/>
      <w:marTop w:val="0"/>
      <w:marBottom w:val="0"/>
      <w:divBdr>
        <w:top w:val="none" w:sz="0" w:space="0" w:color="auto"/>
        <w:left w:val="none" w:sz="0" w:space="0" w:color="auto"/>
        <w:bottom w:val="none" w:sz="0" w:space="0" w:color="auto"/>
        <w:right w:val="none" w:sz="0" w:space="0" w:color="auto"/>
      </w:divBdr>
    </w:div>
    <w:div w:id="1966353398">
      <w:bodyDiv w:val="1"/>
      <w:marLeft w:val="0"/>
      <w:marRight w:val="0"/>
      <w:marTop w:val="0"/>
      <w:marBottom w:val="0"/>
      <w:divBdr>
        <w:top w:val="none" w:sz="0" w:space="0" w:color="auto"/>
        <w:left w:val="none" w:sz="0" w:space="0" w:color="auto"/>
        <w:bottom w:val="none" w:sz="0" w:space="0" w:color="auto"/>
        <w:right w:val="none" w:sz="0" w:space="0" w:color="auto"/>
      </w:divBdr>
    </w:div>
    <w:div w:id="2007827485">
      <w:bodyDiv w:val="1"/>
      <w:marLeft w:val="0"/>
      <w:marRight w:val="0"/>
      <w:marTop w:val="0"/>
      <w:marBottom w:val="0"/>
      <w:divBdr>
        <w:top w:val="none" w:sz="0" w:space="0" w:color="auto"/>
        <w:left w:val="none" w:sz="0" w:space="0" w:color="auto"/>
        <w:bottom w:val="none" w:sz="0" w:space="0" w:color="auto"/>
        <w:right w:val="none" w:sz="0" w:space="0" w:color="auto"/>
      </w:divBdr>
    </w:div>
    <w:div w:id="209597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54771-7358-46BE-9BE8-719696AE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220533 - HEAT TRACING FOR PLUMBING PIPING</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220533 - HEAT TRACING FOR PLUMBING PIPING</dc:title>
  <dc:subject>HEAT TRACING FOR PLUMBING PIPING</dc:subject>
  <dc:creator>cyoung</dc:creator>
  <cp:keywords/>
  <cp:lastModifiedBy>Murtishaw, Robin L</cp:lastModifiedBy>
  <cp:revision>4</cp:revision>
  <cp:lastPrinted>2008-04-08T14:30:00Z</cp:lastPrinted>
  <dcterms:created xsi:type="dcterms:W3CDTF">2017-06-09T21:21:00Z</dcterms:created>
  <dcterms:modified xsi:type="dcterms:W3CDTF">2022-10-06T17:57:00Z</dcterms:modified>
</cp:coreProperties>
</file>